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《电子凭证会计数据标准——银行电子对账单（推广应用版）》指南</w:t>
      </w:r>
    </w:p>
    <w:p>
      <w:pPr>
        <w:pStyle w:val="14"/>
        <w:wordWrap/>
        <w:spacing w:after="0" w:line="560" w:lineRule="exact"/>
        <w:jc w:val="both"/>
      </w:pPr>
      <w:r>
        <w:rPr>
          <w:rFonts w:hint="eastAsia"/>
        </w:rPr>
        <w:t>为加快银行电子对账单应用和推广实施工作，助力国家数字经济发展和会计信息化建设，提升财政监管和税收征管效能，财政部遵循《可扩展商业报告语言（XBRL）技术规范》（GB/T 25500-2010）系列国家标准，研究起草了《电子凭证会计数据标准——银行电子对账单（推广应用版）》（以下简称《银行电子对账单标准》）。《银行电子对账单标准》以现行银行电子对账单为基础，反映了银行电子对账单承载的全部会计信息，以便单位在信息化条件下与日记账进行核对并完成归档工作。为方便阅读理解，我们起草了《电子凭证会计数据标准——银行电子对账单（推广应用版）》元素清单和本指南。</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本指南作为《银行电子对账单标准》使用和实例文档解析的说明文件，应与元素清单一并阅读，旨在帮助具备一定XBRL知识的使用者了解《银行电子对账单标准》的架构、内容以及实例文档的要素和解析方式。</w:t>
      </w:r>
    </w:p>
    <w:p>
      <w:pPr>
        <w:pStyle w:val="11"/>
        <w:numPr>
          <w:ilvl w:val="0"/>
          <w:numId w:val="1"/>
        </w:numPr>
        <w:wordWrap/>
        <w:spacing w:line="560" w:lineRule="exact"/>
        <w:ind w:firstLineChars="0"/>
        <w:outlineLvl w:val="0"/>
      </w:pPr>
      <w:r>
        <w:rPr>
          <w:rFonts w:hint="eastAsia"/>
        </w:rPr>
        <w:t>概述</w:t>
      </w:r>
    </w:p>
    <w:p>
      <w:pPr>
        <w:pStyle w:val="13"/>
        <w:numPr>
          <w:ilvl w:val="0"/>
          <w:numId w:val="2"/>
        </w:numPr>
        <w:wordWrap/>
        <w:spacing w:line="560" w:lineRule="exact"/>
        <w:ind w:firstLine="560"/>
        <w:outlineLvl w:val="1"/>
        <w:rPr>
          <w:rFonts w:ascii="Times New Roman" w:hAnsi="Times New Roman"/>
        </w:rPr>
      </w:pPr>
      <w:r>
        <w:rPr>
          <w:rFonts w:hint="eastAsia" w:ascii="Times New Roman" w:hAnsi="Times New Roman"/>
        </w:rPr>
        <w:t>银行电子对账单介绍</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电子对账单是银行以电子文件的形式记录账户在某一时期（通常为1个月）收、支方的发生额以及期末余额等项目的总账数据。</w:t>
      </w:r>
    </w:p>
    <w:p>
      <w:pPr>
        <w:pStyle w:val="13"/>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单位提交银行电子对账单申请后，银行方将银行电子对账单结构化数据通过X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工具包生成实例文档并封装到OFD版式文件中，形成电子凭证银行对账单。单位获取电子凭证文件后，通过X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工具包解析对账单底层的结构化数据，与日记账进行核对，并完成后续归档工作。</w:t>
      </w:r>
    </w:p>
    <w:p>
      <w:pPr>
        <w:pStyle w:val="11"/>
        <w:numPr>
          <w:ilvl w:val="0"/>
          <w:numId w:val="1"/>
        </w:numPr>
        <w:wordWrap/>
        <w:spacing w:line="560" w:lineRule="exact"/>
        <w:ind w:firstLineChars="0"/>
        <w:outlineLvl w:val="0"/>
      </w:pPr>
      <w:r>
        <w:rPr>
          <w:rFonts w:hint="eastAsia"/>
        </w:rPr>
        <w:t>《银行电子对账单标准》的架构及实例文档要素说明</w:t>
      </w:r>
    </w:p>
    <w:p>
      <w:pPr>
        <w:pStyle w:val="14"/>
        <w:wordWrap/>
        <w:spacing w:after="0" w:line="560" w:lineRule="exact"/>
      </w:pPr>
      <w:r>
        <w:rPr>
          <w:rFonts w:hint="eastAsia"/>
        </w:rPr>
        <w:t>《银行电子对账单标准》</w:t>
      </w:r>
      <w:r>
        <w:t>的</w:t>
      </w:r>
      <w:r>
        <w:rPr>
          <w:rFonts w:hint="eastAsia"/>
        </w:rPr>
        <w:t>架构设计主要分为逻辑设计和物理结构两个层面：逻辑设计是指以XBRL反映银行电子对账单的内容信息；物理结构是指分类标准的各文件和文件夹的层级设计与组织方式。</w:t>
      </w:r>
    </w:p>
    <w:p>
      <w:pPr>
        <w:pStyle w:val="13"/>
        <w:numPr>
          <w:ilvl w:val="0"/>
          <w:numId w:val="3"/>
        </w:numPr>
        <w:wordWrap/>
        <w:spacing w:line="560" w:lineRule="exact"/>
        <w:ind w:firstLine="560" w:firstLineChars="0"/>
        <w:outlineLvl w:val="1"/>
        <w:rPr>
          <w:rFonts w:ascii="Times New Roman" w:hAnsi="Times New Roman"/>
          <w:b w:val="0"/>
        </w:rPr>
      </w:pPr>
      <w:r>
        <w:rPr>
          <w:rFonts w:hint="eastAsia" w:ascii="Times New Roman" w:hAnsi="Times New Roman"/>
        </w:rPr>
        <w:t>逻辑设计</w:t>
      </w:r>
    </w:p>
    <w:p>
      <w:pPr>
        <w:pStyle w:val="14"/>
        <w:wordWrap/>
        <w:spacing w:after="0" w:line="560" w:lineRule="exact"/>
      </w:pPr>
      <w:r>
        <w:rPr>
          <w:rFonts w:hint="eastAsia"/>
        </w:rPr>
        <w:t>《银行电子对账单标准》的逻辑设计具体如下：</w:t>
      </w:r>
    </w:p>
    <w:p>
      <w:pPr>
        <w:pStyle w:val="19"/>
        <w:wordWrap/>
        <w:spacing w:after="0" w:line="560" w:lineRule="exact"/>
      </w:pPr>
      <w:r>
        <w:t>1</w:t>
      </w:r>
      <w:r>
        <w:rPr>
          <w:rFonts w:hint="eastAsia"/>
        </w:rPr>
        <w:t>．元素</w:t>
      </w:r>
    </w:p>
    <w:p>
      <w:pPr>
        <w:pStyle w:val="14"/>
        <w:wordWrap/>
        <w:spacing w:after="0" w:line="560" w:lineRule="exact"/>
      </w:pPr>
      <w:r>
        <w:rPr>
          <w:rFonts w:hint="eastAsia"/>
        </w:rPr>
        <w:t>《银行电子对账单标准》中的元素是依据GB/T25500-2010《可扩展商业报告语言（XBRL）技术规范》系列国家标准，基于银行电子对账单信息及数据库提取的，用于定义和描述银行电子对账单披露的会计概念和业务概念。本版分类标准中使用的概念（元素）总数为3</w:t>
      </w:r>
      <w:r>
        <w:t>9</w:t>
      </w:r>
      <w:r>
        <w:rPr>
          <w:rFonts w:hint="eastAsia"/>
        </w:rPr>
        <w:t>个。</w:t>
      </w:r>
    </w:p>
    <w:p>
      <w:pPr>
        <w:pStyle w:val="14"/>
        <w:wordWrap/>
        <w:spacing w:after="0" w:line="560" w:lineRule="exact"/>
      </w:pPr>
      <w:r>
        <w:rPr>
          <w:rFonts w:hint="eastAsia"/>
        </w:rPr>
        <w:t>《银行电子对账单标准》使用了GB/T25500-2010《可扩展商业报告语言（XBRL）技术规范》系列国家标准所定义的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列示了《银行电子对账单标准》中</w:t>
      </w:r>
      <w:r>
        <w:t>2</w:t>
      </w:r>
      <w:r>
        <w:rPr>
          <w:rFonts w:hint="eastAsia"/>
        </w:rPr>
        <w:t>类元素的使用情况。</w:t>
      </w:r>
    </w:p>
    <w:p>
      <w:pPr>
        <w:pStyle w:val="14"/>
        <w:numPr>
          <w:ilvl w:val="0"/>
          <w:numId w:val="4"/>
        </w:numPr>
        <w:wordWrap/>
        <w:spacing w:after="0" w:line="560" w:lineRule="exact"/>
        <w:ind w:firstLineChars="0"/>
        <w:jc w:val="center"/>
        <w:rPr>
          <w:b/>
          <w:sz w:val="24"/>
          <w:szCs w:val="24"/>
        </w:rPr>
      </w:pPr>
      <w:r>
        <w:rPr>
          <w:rFonts w:hint="eastAsia"/>
          <w:b/>
          <w:sz w:val="24"/>
          <w:szCs w:val="24"/>
        </w:rPr>
        <w:t>《银行电子对账单标准》使用的元素种类（替换组）</w:t>
      </w:r>
    </w:p>
    <w:tbl>
      <w:tblPr>
        <w:tblStyle w:val="6"/>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38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ascii="Times New Roman" w:hAnsi="Times New Roman" w:eastAsia="仿宋_GB2312"/>
                <w:sz w:val="24"/>
                <w:szCs w:val="24"/>
              </w:rPr>
              <w:t>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39</w:t>
            </w:r>
          </w:p>
        </w:tc>
      </w:tr>
    </w:tbl>
    <w:p>
      <w:pPr>
        <w:pStyle w:val="23"/>
        <w:wordWrap/>
        <w:spacing w:after="0" w:line="560" w:lineRule="exact"/>
      </w:pPr>
      <w:r>
        <w:rPr>
          <w:rFonts w:hint="eastAsia"/>
        </w:rPr>
        <w:t>（1）元素属性</w:t>
      </w:r>
    </w:p>
    <w:p>
      <w:pPr>
        <w:pStyle w:val="14"/>
        <w:wordWrap/>
        <w:spacing w:after="0" w:line="560" w:lineRule="exact"/>
      </w:pPr>
      <w:r>
        <w:rPr>
          <w:rFonts w:hint="eastAsia"/>
        </w:rPr>
        <w:t>《银行电子对账单标准》中的</w:t>
      </w:r>
      <w:r>
        <w:t>每</w:t>
      </w:r>
      <w:r>
        <w:rPr>
          <w:rFonts w:hint="eastAsia"/>
        </w:rPr>
        <w:t>项</w:t>
      </w:r>
      <w:r>
        <w:t>元素</w:t>
      </w:r>
      <w:r>
        <w:rPr>
          <w:rFonts w:hint="eastAsia"/>
        </w:rPr>
        <w:t>都</w:t>
      </w:r>
      <w:r>
        <w:t>包含一系列属性</w:t>
      </w:r>
      <w:r>
        <w:rPr>
          <w:rFonts w:hint="eastAsia"/>
        </w:rPr>
        <w:t>。图</w:t>
      </w:r>
      <w:r>
        <w:t>1</w:t>
      </w:r>
      <w:r>
        <w:rPr>
          <w:rFonts w:hint="eastAsia"/>
        </w:rPr>
        <w:t>以“营业网点编号”为例列举了部分元素属性：</w:t>
      </w:r>
    </w:p>
    <w:p>
      <w:pPr>
        <w:pStyle w:val="14"/>
        <w:numPr>
          <w:ilvl w:val="0"/>
          <w:numId w:val="5"/>
        </w:numPr>
        <w:wordWrap/>
        <w:spacing w:after="0" w:line="560" w:lineRule="exact"/>
        <w:ind w:firstLineChars="0"/>
        <w:jc w:val="center"/>
        <w:rPr>
          <w:b/>
          <w:sz w:val="24"/>
          <w:szCs w:val="24"/>
        </w:rPr>
      </w:pPr>
      <w:r>
        <w:drawing>
          <wp:anchor distT="0" distB="0" distL="114300" distR="114300" simplePos="0" relativeHeight="251658240" behindDoc="0" locked="0" layoutInCell="1" allowOverlap="1">
            <wp:simplePos x="0" y="0"/>
            <wp:positionH relativeFrom="column">
              <wp:posOffset>1250950</wp:posOffset>
            </wp:positionH>
            <wp:positionV relativeFrom="page">
              <wp:posOffset>796290</wp:posOffset>
            </wp:positionV>
            <wp:extent cx="3426460" cy="1377315"/>
            <wp:effectExtent l="0" t="0" r="2540" b="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7">
                      <a:extLst>
                        <a:ext uri="{28A0092B-C50C-407E-A947-70E740481C1C}">
                          <a14:useLocalDpi xmlns:a14="http://schemas.microsoft.com/office/drawing/2010/main" val="false"/>
                        </a:ext>
                      </a:extLst>
                    </a:blip>
                    <a:stretch>
                      <a:fillRect/>
                    </a:stretch>
                  </pic:blipFill>
                  <pic:spPr>
                    <a:xfrm>
                      <a:off x="0" y="0"/>
                      <a:ext cx="3426460" cy="1377315"/>
                    </a:xfrm>
                    <a:prstGeom prst="rect">
                      <a:avLst/>
                    </a:prstGeom>
                  </pic:spPr>
                </pic:pic>
              </a:graphicData>
            </a:graphic>
          </wp:anchor>
        </w:drawing>
      </w:r>
      <w:r>
        <w:rPr>
          <w:rFonts w:hint="eastAsia"/>
          <w:b/>
          <w:sz w:val="24"/>
          <w:szCs w:val="24"/>
        </w:rPr>
        <w:t>《银行电子对账单标准》元素“营业网点编号”及其属性</w:t>
      </w:r>
    </w:p>
    <w:p>
      <w:pPr>
        <w:pStyle w:val="14"/>
        <w:wordWrap/>
        <w:spacing w:after="0" w:line="560" w:lineRule="exact"/>
      </w:pPr>
      <w:r>
        <w:rPr>
          <w:rFonts w:hint="eastAsia"/>
        </w:rPr>
        <w:t>《银行电子对账单标准》元素的部分重要属性如下：</w:t>
      </w:r>
    </w:p>
    <w:p>
      <w:pPr>
        <w:pStyle w:val="24"/>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14"/>
        <w:wordWrap/>
        <w:spacing w:after="0" w:line="560" w:lineRule="exact"/>
        <w:rPr>
          <w:rFonts w:cs="Times New Roman"/>
        </w:rPr>
      </w:pPr>
      <w:bookmarkStart w:id="0" w:name="_Hlk82370996"/>
      <w:r>
        <w:rPr>
          <w:rFonts w:cs="Times New Roman"/>
        </w:rPr>
        <w:t>元素名称以元素的英文标准标签为基础确定，遵循“驼峰规则”（Camel Case），以便计算机识别。例如，“</w:t>
      </w:r>
      <w:r>
        <w:rPr>
          <w:rFonts w:hint="eastAsia" w:cs="宋体"/>
          <w:szCs w:val="21"/>
        </w:rPr>
        <w:t>营业网点编号</w:t>
      </w:r>
      <w:r>
        <w:rPr>
          <w:rFonts w:cs="Times New Roman"/>
        </w:rPr>
        <w:t>”的英文标准标签是“Number of bank branch”，元素名称应该是“NumberOfBankBranch”。</w:t>
      </w:r>
    </w:p>
    <w:bookmarkEnd w:id="0"/>
    <w:p>
      <w:pPr>
        <w:pStyle w:val="24"/>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14"/>
        <w:wordWrap/>
        <w:spacing w:after="0" w:line="560" w:lineRule="exact"/>
      </w:pPr>
      <w:r>
        <w:rPr>
          <w:rFonts w:hint="eastAsia"/>
        </w:rPr>
        <w:t>元素ID是《银行电子对账单标准》中所使用的每一个元素的唯一编号。元素ID的结构是：{《银行电子对账单标准》的命名空间前缀_元素名称}。</w:t>
      </w:r>
    </w:p>
    <w:p>
      <w:pPr>
        <w:pStyle w:val="24"/>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14"/>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24"/>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14"/>
        <w:wordWrap/>
        <w:spacing w:after="0" w:line="560" w:lineRule="exact"/>
      </w:pPr>
      <w:r>
        <w:rPr>
          <w:rFonts w:hint="eastAsia"/>
        </w:rPr>
        <w:t>《银行电子对账单标准》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。《银行电子对账单标准》共</w:t>
      </w:r>
      <w:r>
        <w:t>使用了6</w:t>
      </w:r>
      <w:r>
        <w:rPr>
          <w:rFonts w:hint="eastAsia"/>
        </w:rPr>
        <w:t>种</w:t>
      </w:r>
      <w:r>
        <w:t>标准数据类型</w:t>
      </w:r>
      <w:r>
        <w:rPr>
          <w:rFonts w:hint="eastAsia"/>
        </w:rPr>
        <w:t>，具体如表</w:t>
      </w:r>
      <w:r>
        <w:t>2</w:t>
      </w:r>
      <w:r>
        <w:rPr>
          <w:rFonts w:hint="eastAsia"/>
        </w:rPr>
        <w:t>所示。</w:t>
      </w:r>
    </w:p>
    <w:p>
      <w:pPr>
        <w:pStyle w:val="14"/>
        <w:numPr>
          <w:ilvl w:val="0"/>
          <w:numId w:val="4"/>
        </w:numPr>
        <w:wordWrap/>
        <w:spacing w:after="0" w:line="560" w:lineRule="exact"/>
        <w:ind w:firstLineChars="0"/>
        <w:jc w:val="center"/>
        <w:rPr>
          <w:b/>
          <w:sz w:val="24"/>
          <w:szCs w:val="24"/>
        </w:rPr>
      </w:pPr>
      <w:r>
        <w:rPr>
          <w:rFonts w:hint="eastAsia"/>
          <w:b/>
          <w:sz w:val="24"/>
          <w:szCs w:val="24"/>
        </w:rPr>
        <w:t>《银行电子对账单标准》使用的标准数据类型统计及举例</w:t>
      </w:r>
    </w:p>
    <w:tbl>
      <w:tblPr>
        <w:tblStyle w:val="6"/>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营业网点编号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账户余额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年份型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银行对账单年份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时间型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xbrli:timeItemType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记账时间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1" w:name="_Hlk414025444"/>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对账明细信息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39</w:t>
            </w:r>
          </w:p>
        </w:tc>
        <w:tc>
          <w:tcPr>
            <w:tcW w:w="1859" w:type="dxa"/>
            <w:vAlign w:val="center"/>
          </w:tcPr>
          <w:p>
            <w:pPr>
              <w:spacing w:after="0" w:line="240" w:lineRule="auto"/>
              <w:jc w:val="both"/>
              <w:rPr>
                <w:rFonts w:ascii="Times New Roman" w:hAnsi="Times New Roman" w:eastAsia="仿宋_GB2312"/>
                <w:sz w:val="24"/>
                <w:szCs w:val="24"/>
              </w:rPr>
            </w:pPr>
          </w:p>
        </w:tc>
      </w:tr>
      <w:bookmarkEnd w:id="1"/>
    </w:tbl>
    <w:p>
      <w:pPr>
        <w:pStyle w:val="23"/>
        <w:wordWrap/>
        <w:spacing w:after="0" w:line="560" w:lineRule="exact"/>
      </w:pPr>
      <w:r>
        <w:rPr>
          <w:rFonts w:hint="eastAsia"/>
        </w:rPr>
        <w:t>（2）《银行电子对账单标准》中使用的重要虚元素</w:t>
      </w:r>
    </w:p>
    <w:p>
      <w:pPr>
        <w:pStyle w:val="14"/>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银行电子对账单标准》中部分重要虚元素的用法。</w:t>
      </w:r>
    </w:p>
    <w:p>
      <w:pPr>
        <w:pStyle w:val="24"/>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14"/>
        <w:wordWrap/>
        <w:spacing w:after="0" w:line="560" w:lineRule="exact"/>
      </w:pPr>
      <w:r>
        <w:rPr>
          <w:rFonts w:hint="eastAsia"/>
        </w:rPr>
        <w:t>抽象元素用于组织列报链接库中元素的展示层级。所有抽象元素的“abstract”属性都应设为“true”，时期类型为“duration”。</w:t>
      </w:r>
    </w:p>
    <w:p>
      <w:pPr>
        <w:pStyle w:val="24"/>
        <w:wordWrap/>
        <w:spacing w:after="0" w:line="560" w:lineRule="exact"/>
      </w:pPr>
      <w:r>
        <w:rPr>
          <w:rFonts w:hint="eastAsia"/>
        </w:rPr>
        <w:t>② 元组（tuple）元素</w:t>
      </w:r>
    </w:p>
    <w:p>
      <w:pPr>
        <w:pStyle w:val="14"/>
        <w:wordWrap/>
        <w:spacing w:after="0" w:line="560" w:lineRule="exact"/>
      </w:pPr>
      <w:r>
        <w:rPr>
          <w:rFonts w:hint="eastAsia"/>
        </w:rPr>
        <w:t>《银行电子对账单标准》中，元组（tuple）的设置针对对账明细信息需要根据实际情况进行扩展的浮动行项目。元组的引入，使得使用者可以在不扩展现有的分类标准的前提下，在实例文档中增加对应浮动行项目，从而实现浮动行项目的编制。</w:t>
      </w:r>
    </w:p>
    <w:p>
      <w:pPr>
        <w:pStyle w:val="23"/>
        <w:wordWrap/>
        <w:spacing w:after="0" w:line="560" w:lineRule="exact"/>
      </w:pPr>
      <w:r>
        <w:rPr>
          <w:rFonts w:hint="eastAsia"/>
        </w:rPr>
        <w:t>（3）元素标签及后缀</w:t>
      </w:r>
    </w:p>
    <w:p>
      <w:pPr>
        <w:pStyle w:val="14"/>
        <w:wordWrap/>
        <w:spacing w:after="0" w:line="560" w:lineRule="exact"/>
      </w:pPr>
      <w:r>
        <w:rPr>
          <w:rFonts w:hint="eastAsia"/>
        </w:rPr>
        <w:t>在《银行电子对账单标准》中，同一个元素可有多个标签，其中至少有中英文标准标签各一个。英文标签只有第一个单词的首字母以及缩写词要求大写。一些特定元素的标准标签还必须增加标准后缀，具体如下：</w:t>
      </w:r>
    </w:p>
    <w:p>
      <w:pPr>
        <w:pStyle w:val="24"/>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24"/>
        <w:wordWrap/>
        <w:spacing w:after="0" w:line="560" w:lineRule="exact"/>
        <w:rPr>
          <w:rFonts w:hint="eastAsia" w:eastAsia="仿宋_GB2312"/>
          <w:lang w:eastAsia="zh-CN"/>
        </w:rPr>
      </w:pPr>
      <w:r>
        <w:rPr>
          <w:rFonts w:hint="eastAsia"/>
        </w:rPr>
        <w:t>② [tuple]：所有元组（</w:t>
      </w:r>
      <w:r>
        <w:t>tuple</w:t>
      </w:r>
      <w:r>
        <w:rPr>
          <w:rFonts w:hint="eastAsia"/>
        </w:rPr>
        <w:t>）元素的标准标签后缀</w:t>
      </w:r>
      <w:r>
        <w:rPr>
          <w:rFonts w:hint="eastAsia"/>
          <w:lang w:eastAsia="zh-CN"/>
        </w:rPr>
        <w:t>。</w:t>
      </w:r>
    </w:p>
    <w:p>
      <w:pPr>
        <w:pStyle w:val="19"/>
        <w:wordWrap/>
        <w:spacing w:after="0" w:line="560" w:lineRule="exact"/>
      </w:pPr>
      <w:r>
        <w:rPr>
          <w:rFonts w:cs="Times New Roman"/>
        </w:rPr>
        <w:t>2</w:t>
      </w:r>
      <w:r>
        <w:rPr>
          <w:rFonts w:hint="eastAsia" w:cs="Times New Roman"/>
        </w:rPr>
        <w:t>．</w:t>
      </w:r>
      <w:r>
        <w:rPr>
          <w:rFonts w:hint="eastAsia"/>
        </w:rPr>
        <w:t>扩展链接角色（</w:t>
      </w:r>
      <w:r>
        <w:t>ELR</w:t>
      </w:r>
      <w:r>
        <w:rPr>
          <w:rFonts w:hint="eastAsia"/>
        </w:rPr>
        <w:t>）</w:t>
      </w:r>
    </w:p>
    <w:p>
      <w:pPr>
        <w:pStyle w:val="23"/>
        <w:wordWrap/>
        <w:spacing w:after="0" w:line="560" w:lineRule="exact"/>
      </w:pPr>
      <w:r>
        <w:rPr>
          <w:rFonts w:hint="eastAsia"/>
        </w:rPr>
        <w:t>（1）扩展链接角色的定义</w:t>
      </w:r>
    </w:p>
    <w:p>
      <w:pPr>
        <w:pStyle w:val="14"/>
        <w:wordWrap/>
        <w:spacing w:after="0" w:line="560" w:lineRule="exact"/>
      </w:pPr>
      <w:r>
        <w:rPr>
          <w:rFonts w:hint="eastAsia"/>
        </w:rPr>
        <w:t>扩展链接角色（ELR）是一组可被视为一个整体进行处理的银行电子对账单信息关系的标识符。</w:t>
      </w:r>
    </w:p>
    <w:p>
      <w:pPr>
        <w:pStyle w:val="23"/>
        <w:wordWrap/>
        <w:spacing w:after="0" w:line="560" w:lineRule="exact"/>
      </w:pPr>
      <w:r>
        <w:rPr>
          <w:rFonts w:hint="eastAsia"/>
        </w:rPr>
        <w:t>（2）扩展链接角色的统一资源标识符（URI）的定义</w:t>
      </w:r>
    </w:p>
    <w:p>
      <w:pPr>
        <w:pStyle w:val="14"/>
        <w:wordWrap/>
        <w:spacing w:after="0" w:line="560" w:lineRule="exact"/>
      </w:pPr>
      <w:r>
        <w:rPr>
          <w:rFonts w:hint="eastAsia"/>
        </w:rPr>
        <w:t>在设计扩展链接角色时，《银行电子对账单标准》依据GB/T25500-2010《可扩展商业报告语言（XBRL）技术规范》系列国家标准的规定，为扩展链接角色定义了统一资源标识符，统一资源标识符的定义遵循以下模式：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14"/>
        <w:wordWrap/>
        <w:spacing w:after="0" w:line="560" w:lineRule="exact"/>
      </w:pPr>
      <w:r>
        <w:rPr>
          <w:rFonts w:hint="eastAsia"/>
        </w:rPr>
        <w:t>其中，yyyy-mm-dd为《银行电子对账单标准》的版本日期；“编码”表示扩展链接角色的6位编码，便于计算机识别及检索。</w:t>
      </w:r>
    </w:p>
    <w:p>
      <w:pPr>
        <w:pStyle w:val="14"/>
        <w:wordWrap/>
        <w:spacing w:after="0" w:line="560" w:lineRule="exact"/>
      </w:pPr>
      <w:r>
        <w:rPr>
          <w:rFonts w:hint="eastAsia"/>
        </w:rPr>
        <w:t>《银行电子对账单标准》在定义扩展链接角色的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14"/>
        <w:numPr>
          <w:ilvl w:val="0"/>
          <w:numId w:val="4"/>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7"/>
        <w:tblW w:w="9963"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47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14"/>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14"/>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14"/>
              <w:wordWrap/>
              <w:spacing w:after="0" w:line="240" w:lineRule="auto"/>
              <w:ind w:firstLine="0" w:firstLineChars="0"/>
              <w:jc w:val="center"/>
              <w:rPr>
                <w:b/>
                <w:sz w:val="24"/>
              </w:rPr>
            </w:pPr>
            <w:r>
              <w:rPr>
                <w:rFonts w:hint="eastAsia"/>
                <w:b/>
                <w:sz w:val="24"/>
              </w:rPr>
              <w:t>是否必须</w:t>
            </w:r>
          </w:p>
        </w:tc>
        <w:tc>
          <w:tcPr>
            <w:tcW w:w="4752" w:type="dxa"/>
            <w:vAlign w:val="center"/>
          </w:tcPr>
          <w:p>
            <w:pPr>
              <w:pStyle w:val="14"/>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14"/>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14"/>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14"/>
              <w:wordWrap/>
              <w:spacing w:after="0" w:line="240" w:lineRule="auto"/>
              <w:ind w:firstLine="0" w:firstLineChars="0"/>
              <w:jc w:val="center"/>
              <w:rPr>
                <w:sz w:val="24"/>
              </w:rPr>
            </w:pPr>
            <w:r>
              <w:rPr>
                <w:rFonts w:hint="eastAsia"/>
                <w:sz w:val="24"/>
              </w:rPr>
              <w:t>单据类型</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sz w:val="24"/>
              </w:rPr>
              <w:t>05</w:t>
            </w:r>
            <w:r>
              <w:rPr>
                <w:rFonts w:hint="eastAsia"/>
                <w:sz w:val="24"/>
              </w:rPr>
              <w:t>表示银行电子对账单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14"/>
              <w:wordWrap/>
              <w:spacing w:after="0" w:line="240" w:lineRule="auto"/>
              <w:ind w:firstLine="0" w:firstLineChars="0"/>
              <w:jc w:val="center"/>
              <w:rPr>
                <w:sz w:val="24"/>
              </w:rPr>
            </w:pPr>
            <w:r>
              <w:rPr>
                <w:rFonts w:hint="eastAsia"/>
                <w:sz w:val="24"/>
              </w:rPr>
              <w:t>明细序号</w:t>
            </w:r>
          </w:p>
        </w:tc>
        <w:tc>
          <w:tcPr>
            <w:tcW w:w="1275" w:type="dxa"/>
            <w:vAlign w:val="center"/>
          </w:tcPr>
          <w:p>
            <w:pPr>
              <w:pStyle w:val="14"/>
              <w:wordWrap/>
              <w:spacing w:after="0" w:line="320" w:lineRule="exact"/>
              <w:ind w:firstLine="0" w:firstLineChars="0"/>
              <w:jc w:val="center"/>
              <w:rPr>
                <w:sz w:val="24"/>
              </w:rPr>
            </w:pPr>
            <w:r>
              <w:rPr>
                <w:rFonts w:hint="eastAsia"/>
                <w:sz w:val="24"/>
              </w:rPr>
              <w:t>必选</w:t>
            </w:r>
          </w:p>
        </w:tc>
        <w:tc>
          <w:tcPr>
            <w:tcW w:w="4752" w:type="dxa"/>
            <w:vAlign w:val="center"/>
          </w:tcPr>
          <w:p>
            <w:pPr>
              <w:pStyle w:val="14"/>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14"/>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14"/>
              <w:wordWrap/>
              <w:spacing w:after="0" w:line="240" w:lineRule="auto"/>
              <w:ind w:firstLine="0" w:firstLineChars="0"/>
              <w:jc w:val="center"/>
              <w:rPr>
                <w:sz w:val="24"/>
              </w:rPr>
            </w:pPr>
            <w:r>
              <w:rPr>
                <w:rFonts w:hint="eastAsia"/>
                <w:sz w:val="24"/>
              </w:rPr>
              <w:t>拆分序号</w:t>
            </w:r>
          </w:p>
        </w:tc>
        <w:tc>
          <w:tcPr>
            <w:tcW w:w="1275" w:type="dxa"/>
            <w:vAlign w:val="center"/>
          </w:tcPr>
          <w:p>
            <w:pPr>
              <w:pStyle w:val="14"/>
              <w:wordWrap/>
              <w:spacing w:after="0" w:line="320" w:lineRule="exact"/>
              <w:ind w:firstLine="0" w:firstLineChars="0"/>
              <w:jc w:val="center"/>
              <w:rPr>
                <w:sz w:val="24"/>
              </w:rPr>
            </w:pPr>
            <w:r>
              <w:rPr>
                <w:rFonts w:hint="eastAsia"/>
                <w:sz w:val="24"/>
              </w:rPr>
              <w:t>可选</w:t>
            </w:r>
          </w:p>
        </w:tc>
        <w:tc>
          <w:tcPr>
            <w:tcW w:w="4752" w:type="dxa"/>
            <w:vAlign w:val="center"/>
          </w:tcPr>
          <w:p>
            <w:pPr>
              <w:pStyle w:val="14"/>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完整的银行电子对账单信息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rPr>
              <w:t>银行电子对账单</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3"/>
        <w:numPr>
          <w:ilvl w:val="0"/>
          <w:numId w:val="3"/>
        </w:numPr>
        <w:wordWrap/>
        <w:spacing w:line="560" w:lineRule="exact"/>
        <w:ind w:firstLine="560" w:firstLineChars="0"/>
        <w:outlineLvl w:val="1"/>
        <w:rPr>
          <w:rFonts w:ascii="Times New Roman" w:hAnsi="Times New Roman"/>
        </w:rPr>
      </w:pPr>
      <w:r>
        <w:rPr>
          <w:rFonts w:hint="eastAsia" w:ascii="Times New Roman" w:hAnsi="Times New Roman"/>
        </w:rPr>
        <w:t>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从物理形态上来看，《银行电子对账单标准》是一个电子文件包，文件结构如图2所示：</w:t>
      </w:r>
    </w:p>
    <w:p>
      <w:pPr>
        <w:tabs>
          <w:tab w:val="left" w:pos="710"/>
        </w:tabs>
        <w:ind w:firstLine="565" w:firstLineChars="257"/>
        <w:jc w:val="center"/>
      </w:pPr>
      <w:r>
        <w:object>
          <v:shape id="_x0000_i1025" o:spt="75" type="#_x0000_t75" style="height:224.75pt;width:422.7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2"/>
        <w:numPr>
          <w:ilvl w:val="0"/>
          <w:numId w:val="5"/>
        </w:numPr>
        <w:tabs>
          <w:tab w:val="left" w:pos="710"/>
        </w:tabs>
        <w:ind w:firstLineChars="0"/>
        <w:jc w:val="center"/>
        <w:rPr>
          <w:rFonts w:ascii="Times New Roman" w:hAnsi="Times New Roman" w:eastAsia="仿宋_GB2312" w:cs="Arial"/>
          <w:sz w:val="28"/>
          <w:szCs w:val="32"/>
        </w:rPr>
      </w:pPr>
      <w:r>
        <w:rPr>
          <w:rFonts w:hint="eastAsia" w:ascii="Times New Roman" w:hAnsi="Times New Roman" w:eastAsia="仿宋_GB2312" w:cs="Times New Roman"/>
          <w:b/>
          <w:sz w:val="24"/>
          <w:szCs w:val="24"/>
        </w:rPr>
        <w:t>《银行电子对账单标准》</w:t>
      </w:r>
      <w:r>
        <w:rPr>
          <w:rFonts w:ascii="Times New Roman" w:hAnsi="Times New Roman" w:eastAsia="仿宋_GB2312" w:cs="Times New Roman"/>
          <w:b/>
          <w:sz w:val="24"/>
          <w:szCs w:val="24"/>
        </w:rPr>
        <w:t>的物理文件结构</w:t>
      </w:r>
    </w:p>
    <w:p>
      <w:pPr>
        <w:pStyle w:val="19"/>
        <w:wordWrap/>
        <w:spacing w:after="0" w:line="560" w:lineRule="exact"/>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本版分类标准以银行电子对账单为基础组织文件结构，图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显示了《银行电子对账单标准》文件夹及相关内容。</w:t>
      </w:r>
    </w:p>
    <w:p>
      <w:pPr>
        <w:spacing w:after="0" w:line="360" w:lineRule="auto"/>
        <w:jc w:val="center"/>
        <w:rPr>
          <w:rFonts w:ascii="Times New Roman" w:hAnsi="Times New Roman" w:eastAsia="仿宋_GB2312" w:cs="Arial"/>
          <w:sz w:val="28"/>
          <w:szCs w:val="32"/>
        </w:rPr>
      </w:pPr>
      <w:r>
        <w:drawing>
          <wp:inline distT="0" distB="0" distL="0" distR="0">
            <wp:extent cx="6189345" cy="1452245"/>
            <wp:effectExtent l="0" t="0" r="1905" b="0"/>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10"/>
                    <a:stretch>
                      <a:fillRect/>
                    </a:stretch>
                  </pic:blipFill>
                  <pic:spPr>
                    <a:xfrm>
                      <a:off x="0" y="0"/>
                      <a:ext cx="6189345" cy="1452245"/>
                    </a:xfrm>
                    <a:prstGeom prst="rect">
                      <a:avLst/>
                    </a:prstGeom>
                  </pic:spPr>
                </pic:pic>
              </a:graphicData>
            </a:graphic>
          </wp:inline>
        </w:drawing>
      </w:r>
    </w:p>
    <w:p>
      <w:pPr>
        <w:pStyle w:val="15"/>
        <w:numPr>
          <w:ilvl w:val="0"/>
          <w:numId w:val="5"/>
        </w:numPr>
        <w:spacing w:afterLines="0" w:line="560" w:lineRule="exact"/>
        <w:ind w:firstLineChars="0"/>
        <w:jc w:val="center"/>
        <w:rPr>
          <w:b/>
          <w:sz w:val="24"/>
          <w:szCs w:val="24"/>
        </w:rPr>
      </w:pPr>
      <w:r>
        <w:rPr>
          <w:rFonts w:hint="eastAsia"/>
          <w:b/>
          <w:sz w:val="24"/>
          <w:szCs w:val="24"/>
        </w:rPr>
        <w:t>《银行电子对账单标准》文件夹及其内容</w:t>
      </w:r>
    </w:p>
    <w:p>
      <w:pPr>
        <w:pStyle w:val="19"/>
        <w:wordWrap/>
        <w:spacing w:after="0" w:line="560" w:lineRule="exact"/>
      </w:pPr>
      <w:r>
        <w:rPr>
          <w:rFonts w:hint="eastAsia"/>
        </w:rPr>
        <w:t>2．文件夹和文件结构说明</w:t>
      </w:r>
    </w:p>
    <w:p>
      <w:pPr>
        <w:pStyle w:val="14"/>
        <w:wordWrap/>
        <w:spacing w:after="0" w:line="560" w:lineRule="exact"/>
      </w:pPr>
      <w:r>
        <w:rPr>
          <w:rFonts w:hint="eastAsia"/>
        </w:rPr>
        <w:t>《银行电子对账单标准》文件夹和文件结构及其内容的具体说明如下：</w:t>
      </w:r>
    </w:p>
    <w:p>
      <w:pPr>
        <w:pStyle w:val="23"/>
        <w:wordWrap/>
        <w:spacing w:after="0" w:line="560" w:lineRule="exact"/>
      </w:pPr>
      <w:r>
        <w:rPr>
          <w:rFonts w:hint="eastAsia"/>
        </w:rPr>
        <w:t>（1）根目录</w:t>
      </w:r>
      <w:r>
        <w:t>是</w:t>
      </w:r>
      <w:r>
        <w:rPr>
          <w:rFonts w:hint="eastAsia"/>
        </w:rPr>
        <w:t>《银行电子对账单标准》</w:t>
      </w:r>
      <w:r>
        <w:t>文件的根文件夹，以</w:t>
      </w:r>
      <w:r>
        <w:rPr>
          <w:rFonts w:hint="eastAsia"/>
        </w:rPr>
        <w:t>《银行电子对账单标准》版本日期命名。</w:t>
      </w:r>
      <w:r>
        <w:t>本版</w:t>
      </w:r>
      <w:r>
        <w:rPr>
          <w:rFonts w:hint="eastAsia"/>
        </w:rPr>
        <w:t>分类标准的版本</w:t>
      </w:r>
      <w:r>
        <w:t>日期为20</w:t>
      </w:r>
      <w:r>
        <w:rPr>
          <w:rFonts w:hint="eastAsia"/>
        </w:rPr>
        <w:t>2</w:t>
      </w:r>
      <w:r>
        <w:t>3</w:t>
      </w:r>
      <w:r>
        <w:rPr>
          <w:rFonts w:hint="eastAsia"/>
        </w:rPr>
        <w:t>年</w:t>
      </w:r>
      <w:r>
        <w:t>12</w:t>
      </w:r>
      <w:r>
        <w:rPr>
          <w:rFonts w:hint="eastAsia"/>
        </w:rPr>
        <w:t>月</w:t>
      </w:r>
      <w:r>
        <w:t>31</w:t>
      </w:r>
      <w:r>
        <w:rPr>
          <w:rFonts w:hint="eastAsia"/>
        </w:rPr>
        <w:t>日</w:t>
      </w:r>
      <w:r>
        <w:t>。</w:t>
      </w:r>
    </w:p>
    <w:p>
      <w:pPr>
        <w:pStyle w:val="23"/>
        <w:wordWrap/>
        <w:spacing w:after="0" w:line="560" w:lineRule="exact"/>
      </w:pPr>
      <w:bookmarkStart w:id="2" w:name="OLE_LINK11"/>
      <w:bookmarkStart w:id="3" w:name="OLE_LINK12"/>
      <w:r>
        <w:rPr>
          <w:rFonts w:hint="eastAsia"/>
        </w:rPr>
        <w:t>（</w:t>
      </w:r>
      <w:r>
        <w:t>2</w:t>
      </w:r>
      <w:r>
        <w:rPr>
          <w:rFonts w:hint="eastAsia"/>
        </w:rPr>
        <w:t>）bkrs</w:t>
      </w:r>
      <w:r>
        <w:t>_cor-</w:t>
      </w:r>
      <w:r>
        <w:rPr>
          <w:rFonts w:hint="eastAsia"/>
        </w:rPr>
        <w:t>yyyymmdd.xsd</w:t>
      </w:r>
      <w:bookmarkEnd w:id="2"/>
      <w:bookmarkEnd w:id="3"/>
      <w:r>
        <w:rPr>
          <w:rFonts w:hint="eastAsia"/>
        </w:rPr>
        <w:t>、bkrs-yyyymmdd</w:t>
      </w:r>
      <w:r>
        <w:t>_rol</w:t>
      </w:r>
      <w:r>
        <w:rPr>
          <w:rFonts w:hint="eastAsia"/>
        </w:rPr>
        <w:t>.xsd是《银行电子对账单标准》的模式文件，元素及扩展链接角色分别存放在这两个文件中。</w:t>
      </w:r>
    </w:p>
    <w:p>
      <w:pPr>
        <w:pStyle w:val="23"/>
        <w:wordWrap/>
        <w:spacing w:after="0" w:line="560" w:lineRule="exact"/>
      </w:pPr>
      <w:r>
        <w:rPr>
          <w:rFonts w:hint="eastAsia"/>
        </w:rPr>
        <w:t>（</w:t>
      </w:r>
      <w:r>
        <w:t>3</w:t>
      </w:r>
      <w:r>
        <w:rPr>
          <w:rFonts w:hint="eastAsia"/>
        </w:rPr>
        <w:t>）bkrs-yyyymmdd_pre.xml是《银行电子对账单标准》的列报链接库</w:t>
      </w:r>
      <w:r>
        <w:rPr>
          <w:rFonts w:hint="eastAsia"/>
          <w:lang w:eastAsia="zh-CN"/>
        </w:rPr>
        <w:t>文件</w:t>
      </w:r>
      <w:r>
        <w:rPr>
          <w:rFonts w:hint="eastAsia"/>
        </w:rPr>
        <w:t>。</w:t>
      </w:r>
    </w:p>
    <w:p>
      <w:pPr>
        <w:pStyle w:val="23"/>
        <w:wordWrap/>
        <w:spacing w:after="0" w:line="560" w:lineRule="exact"/>
      </w:pPr>
      <w:r>
        <w:rPr>
          <w:rFonts w:hint="eastAsia"/>
        </w:rPr>
        <w:t>（</w:t>
      </w:r>
      <w:r>
        <w:t>4</w:t>
      </w:r>
      <w:r>
        <w:rPr>
          <w:rFonts w:hint="eastAsia"/>
        </w:rPr>
        <w:t>）bkrs</w:t>
      </w:r>
      <w:r>
        <w:t>-yyyymmdd_gla-{</w:t>
      </w:r>
      <w:r>
        <w:rPr>
          <w:rFonts w:hint="eastAsia"/>
        </w:rPr>
        <w:t>cn</w:t>
      </w:r>
      <w:r>
        <w:t>|en}.xml</w:t>
      </w:r>
      <w:r>
        <w:rPr>
          <w:rFonts w:hint="eastAsia"/>
        </w:rPr>
        <w:t>是定义扩展链接角色中英文标签的链接库文件。</w:t>
      </w:r>
    </w:p>
    <w:p>
      <w:pPr>
        <w:pStyle w:val="23"/>
        <w:wordWrap/>
        <w:spacing w:after="0" w:line="560" w:lineRule="exact"/>
      </w:pPr>
      <w:r>
        <w:rPr>
          <w:rFonts w:hint="eastAsia"/>
        </w:rPr>
        <w:t>（</w:t>
      </w:r>
      <w:r>
        <w:t>5</w:t>
      </w:r>
      <w:r>
        <w:rPr>
          <w:rFonts w:hint="eastAsia"/>
        </w:rPr>
        <w:t>）bkrs</w:t>
      </w:r>
      <w:r>
        <w:t>-yyyymmdd_lab-{</w:t>
      </w:r>
      <w:r>
        <w:rPr>
          <w:rFonts w:hint="eastAsia"/>
        </w:rPr>
        <w:t>cn</w:t>
      </w:r>
      <w:r>
        <w:t>|en}.xml</w:t>
      </w:r>
      <w:r>
        <w:rPr>
          <w:rFonts w:hint="eastAsia"/>
        </w:rPr>
        <w:t>是定义元素中英文标签的链接库文件。</w:t>
      </w:r>
    </w:p>
    <w:p>
      <w:pPr>
        <w:pStyle w:val="23"/>
        <w:wordWrap/>
        <w:spacing w:after="0" w:line="560" w:lineRule="exact"/>
      </w:pPr>
      <w:r>
        <w:rPr>
          <w:rFonts w:hint="eastAsia"/>
        </w:rPr>
        <w:t>（</w:t>
      </w:r>
      <w:r>
        <w:t>6</w:t>
      </w:r>
      <w:r>
        <w:rPr>
          <w:rFonts w:hint="eastAsia"/>
        </w:rPr>
        <w:t>）bkrs-yyyymmdd_ref.xml是分类标准的参考链接库</w:t>
      </w:r>
      <w:r>
        <w:rPr>
          <w:rFonts w:hint="eastAsia"/>
          <w:lang w:eastAsia="zh-CN"/>
        </w:rPr>
        <w:t>文件</w:t>
      </w:r>
      <w:r>
        <w:rPr>
          <w:rFonts w:hint="eastAsia"/>
        </w:rPr>
        <w:t>。</w:t>
      </w:r>
    </w:p>
    <w:p>
      <w:pPr>
        <w:pStyle w:val="19"/>
        <w:wordWrap/>
        <w:spacing w:after="0" w:line="560" w:lineRule="exact"/>
      </w:pPr>
      <w:r>
        <w:rPr>
          <w:rFonts w:cs="Times New Roman"/>
        </w:rPr>
        <w:t>3</w:t>
      </w:r>
      <w:r>
        <w:rPr>
          <w:rFonts w:hint="eastAsia" w:cs="Times New Roman"/>
        </w:rPr>
        <w:t>．绝对路径和</w:t>
      </w:r>
      <w:r>
        <w:rPr>
          <w:rFonts w:hint="eastAsia"/>
        </w:rPr>
        <w:t>相对路径</w:t>
      </w:r>
    </w:p>
    <w:p>
      <w:pPr>
        <w:pStyle w:val="14"/>
        <w:wordWrap/>
        <w:spacing w:after="0" w:line="560" w:lineRule="exact"/>
      </w:pPr>
      <w:r>
        <w:rPr>
          <w:rFonts w:hint="eastAsia"/>
        </w:rPr>
        <w:t>为便于使用者定位《银行电子对账单标准》中的模式文件和链接库等文件，本版分类标准采用了绝对路径和相对路径两种定位方式。《银行电子对账单标准》对XBRL标准数据类型的引用，采用绝对路径引用的方式，直接指向国际XBRL技术规范和分类标准；《银行电子对账单标准》内部各部分之间的引用，采用较为便捷的相对路径的方式，无须过多考虑文件的存储位置。</w:t>
      </w:r>
    </w:p>
    <w:p>
      <w:pPr>
        <w:pStyle w:val="14"/>
        <w:spacing w:after="0" w:line="560" w:lineRule="exact"/>
      </w:pPr>
      <w:r>
        <w:rPr>
          <w:rFonts w:hint="eastAsia"/>
        </w:rPr>
        <w:t>绝对路径的形式即为定义XBRL标准数据类型的地址。例如，要定位数字型数据分类标准模式文件时，其路径为：</w:t>
      </w:r>
    </w:p>
    <w:p>
      <w:pPr>
        <w:pStyle w:val="14"/>
        <w:spacing w:after="0" w:line="560" w:lineRule="exact"/>
      </w:pPr>
      <w:r>
        <w:t>http://www.xbrl.org/dtr/type/numeric-2009-12-16.xsd</w:t>
      </w:r>
    </w:p>
    <w:p>
      <w:pPr>
        <w:pStyle w:val="14"/>
        <w:wordWrap/>
        <w:spacing w:after="0" w:line="560" w:lineRule="exact"/>
      </w:pPr>
      <w:r>
        <w:rPr>
          <w:rStyle w:val="27"/>
        </w:rPr>
        <w:t>相对路径根目录为入口</w:t>
      </w:r>
      <w:r>
        <w:rPr>
          <w:rStyle w:val="27"/>
          <w:rFonts w:hint="eastAsia"/>
        </w:rPr>
        <w:t>点</w:t>
      </w:r>
      <w:r>
        <w:rPr>
          <w:rStyle w:val="27"/>
        </w:rPr>
        <w:t>模式文件所在目录</w:t>
      </w:r>
      <w:r>
        <w:rPr>
          <w:rFonts w:hint="eastAsia"/>
        </w:rPr>
        <w:t>，表</w:t>
      </w:r>
      <w:r>
        <w:t>4</w:t>
      </w:r>
      <w:r>
        <w:rPr>
          <w:rFonts w:hint="eastAsia"/>
        </w:rPr>
        <w:t>列举了部分《银行电子对账单标准》文件的相对路径：</w:t>
      </w:r>
    </w:p>
    <w:p>
      <w:pPr>
        <w:pStyle w:val="14"/>
        <w:numPr>
          <w:ilvl w:val="0"/>
          <w:numId w:val="4"/>
        </w:numPr>
        <w:wordWrap/>
        <w:spacing w:after="0" w:line="560" w:lineRule="exact"/>
        <w:ind w:firstLineChars="0"/>
        <w:jc w:val="center"/>
        <w:rPr>
          <w:b/>
          <w:sz w:val="24"/>
          <w:szCs w:val="24"/>
        </w:rPr>
      </w:pPr>
      <w:r>
        <w:rPr>
          <w:rFonts w:hint="eastAsia"/>
          <w:b/>
          <w:sz w:val="24"/>
          <w:szCs w:val="24"/>
        </w:rPr>
        <w:t>《银行电子对账单标准》文件的相对路径举例</w:t>
      </w:r>
    </w:p>
    <w:tbl>
      <w:tblPr>
        <w:tblStyle w:val="6"/>
        <w:tblW w:w="948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9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503" w:type="dxa"/>
            <w:shd w:val="clear" w:color="auto" w:fill="auto"/>
            <w:vAlign w:val="center"/>
          </w:tcPr>
          <w:p>
            <w:pPr>
              <w:pStyle w:val="15"/>
              <w:spacing w:before="312" w:beforeLines="100" w:after="120" w:afterLines="0" w:line="240" w:lineRule="auto"/>
              <w:ind w:firstLine="0" w:firstLineChars="0"/>
              <w:jc w:val="center"/>
              <w:rPr>
                <w:b/>
                <w:sz w:val="24"/>
                <w:szCs w:val="24"/>
              </w:rPr>
            </w:pPr>
            <w:r>
              <w:rPr>
                <w:rFonts w:hint="eastAsia"/>
                <w:b/>
                <w:sz w:val="24"/>
                <w:szCs w:val="24"/>
              </w:rPr>
              <w:t>文件名</w:t>
            </w:r>
          </w:p>
        </w:tc>
        <w:tc>
          <w:tcPr>
            <w:tcW w:w="4982" w:type="dxa"/>
            <w:shd w:val="clear" w:color="auto" w:fill="auto"/>
            <w:vAlign w:val="center"/>
          </w:tcPr>
          <w:p>
            <w:pPr>
              <w:pStyle w:val="15"/>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4503" w:type="dxa"/>
            <w:shd w:val="clear" w:color="auto" w:fill="auto"/>
            <w:vAlign w:val="center"/>
          </w:tcPr>
          <w:p>
            <w:pPr>
              <w:pStyle w:val="15"/>
              <w:spacing w:after="0" w:afterLines="0" w:line="240" w:lineRule="auto"/>
              <w:ind w:firstLine="0" w:firstLineChars="0"/>
              <w:jc w:val="both"/>
              <w:rPr>
                <w:sz w:val="24"/>
                <w:szCs w:val="24"/>
              </w:rPr>
            </w:pPr>
            <w:r>
              <w:rPr>
                <w:rFonts w:hint="eastAsia"/>
                <w:sz w:val="24"/>
                <w:szCs w:val="24"/>
              </w:rPr>
              <w:t>模式文件：</w:t>
            </w:r>
          </w:p>
          <w:p>
            <w:pPr>
              <w:pStyle w:val="15"/>
              <w:spacing w:after="0" w:afterLines="0" w:line="240" w:lineRule="auto"/>
              <w:ind w:firstLine="0" w:firstLineChars="0"/>
              <w:jc w:val="both"/>
              <w:rPr>
                <w:sz w:val="24"/>
                <w:szCs w:val="24"/>
              </w:rPr>
            </w:pPr>
            <w:r>
              <w:rPr>
                <w:sz w:val="24"/>
                <w:szCs w:val="24"/>
              </w:rPr>
              <w:t>bkrs_cor-20231231.xsd</w:t>
            </w:r>
          </w:p>
        </w:tc>
        <w:tc>
          <w:tcPr>
            <w:tcW w:w="4982" w:type="dxa"/>
            <w:shd w:val="clear" w:color="auto" w:fill="auto"/>
            <w:vAlign w:val="center"/>
          </w:tcPr>
          <w:p>
            <w:pPr>
              <w:pStyle w:val="15"/>
              <w:spacing w:after="0" w:afterLines="0" w:line="240" w:lineRule="auto"/>
              <w:ind w:firstLine="0" w:firstLineChars="0"/>
              <w:jc w:val="both"/>
              <w:rPr>
                <w:sz w:val="24"/>
                <w:szCs w:val="24"/>
              </w:rPr>
            </w:pPr>
            <w:r>
              <w:rPr>
                <w:sz w:val="24"/>
                <w:szCs w:val="24"/>
              </w:rPr>
              <w:t>bkrs/bkrs_cor-20231231.xsd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503" w:type="dxa"/>
            <w:shd w:val="clear" w:color="auto" w:fill="auto"/>
            <w:vAlign w:val="center"/>
          </w:tcPr>
          <w:p>
            <w:pPr>
              <w:pStyle w:val="15"/>
              <w:spacing w:after="0" w:afterLines="0" w:line="240" w:lineRule="auto"/>
              <w:ind w:firstLine="0" w:firstLineChars="0"/>
              <w:jc w:val="both"/>
              <w:rPr>
                <w:sz w:val="24"/>
                <w:szCs w:val="24"/>
              </w:rPr>
            </w:pPr>
            <w:r>
              <w:rPr>
                <w:rFonts w:hint="eastAsia"/>
                <w:sz w:val="24"/>
                <w:szCs w:val="24"/>
              </w:rPr>
              <w:t>列报链接库文件：</w:t>
            </w:r>
          </w:p>
          <w:p>
            <w:pPr>
              <w:pStyle w:val="15"/>
              <w:spacing w:after="0" w:afterLines="0" w:line="240" w:lineRule="auto"/>
              <w:ind w:firstLine="0" w:firstLineChars="0"/>
              <w:jc w:val="both"/>
              <w:rPr>
                <w:sz w:val="24"/>
                <w:szCs w:val="24"/>
              </w:rPr>
            </w:pPr>
            <w:r>
              <w:rPr>
                <w:sz w:val="24"/>
                <w:szCs w:val="24"/>
              </w:rPr>
              <w:t>bkrs-20231231_pre.xml</w:t>
            </w:r>
          </w:p>
        </w:tc>
        <w:tc>
          <w:tcPr>
            <w:tcW w:w="4982" w:type="dxa"/>
            <w:shd w:val="clear" w:color="auto" w:fill="auto"/>
            <w:vAlign w:val="center"/>
          </w:tcPr>
          <w:p>
            <w:pPr>
              <w:pStyle w:val="15"/>
              <w:spacing w:after="0" w:afterLines="0" w:line="240" w:lineRule="auto"/>
              <w:ind w:firstLine="0" w:firstLineChars="0"/>
              <w:jc w:val="both"/>
              <w:rPr>
                <w:sz w:val="24"/>
                <w:szCs w:val="24"/>
              </w:rPr>
            </w:pPr>
            <w:r>
              <w:rPr>
                <w:sz w:val="24"/>
                <w:szCs w:val="24"/>
              </w:rPr>
              <w:t>bkrs/linkbase</w:t>
            </w:r>
            <w:r>
              <w:rPr>
                <w:rFonts w:hint="eastAsia"/>
                <w:sz w:val="24"/>
                <w:szCs w:val="24"/>
              </w:rPr>
              <w:t>/</w:t>
            </w:r>
            <w:r>
              <w:rPr>
                <w:sz w:val="24"/>
                <w:szCs w:val="24"/>
              </w:rPr>
              <w:t>bkrs-20231231_pre.xml</w:t>
            </w:r>
          </w:p>
        </w:tc>
      </w:tr>
    </w:tbl>
    <w:p>
      <w:pPr>
        <w:pStyle w:val="19"/>
        <w:wordWrap/>
        <w:spacing w:after="0" w:line="560" w:lineRule="exact"/>
        <w:rPr>
          <w:rFonts w:cs="Times New Roman"/>
        </w:rPr>
      </w:pPr>
      <w:r>
        <w:rPr>
          <w:rFonts w:hint="eastAsia" w:cs="Times New Roman"/>
        </w:rPr>
        <w:t>4．命名空间</w:t>
      </w:r>
    </w:p>
    <w:p>
      <w:pPr>
        <w:pStyle w:val="14"/>
        <w:wordWrap/>
        <w:spacing w:after="0" w:line="560" w:lineRule="exact"/>
      </w:pPr>
      <w:r>
        <w:rPr>
          <w:rFonts w:hint="eastAsia"/>
        </w:rPr>
        <w:t>为便于使用者辨认特定版本分类标准所定义的元素、类型和关系，《银行电子对账单标准》中包含了命名空间。本版分类标准的命名空间即“</w:t>
      </w:r>
      <w:r>
        <w:t>http://xbrl.mof.gov.cn/taxonomy/2023-12-31/</w:t>
      </w:r>
      <w:r>
        <w:rPr>
          <w:rFonts w:hint="eastAsia"/>
        </w:rPr>
        <w:t>bkrs”，命名空间前缀为银行对账单（</w:t>
      </w:r>
      <w:r>
        <w:t>bank reconciliation statement</w:t>
      </w:r>
      <w:r>
        <w:rPr>
          <w:rFonts w:hint="eastAsia"/>
        </w:rPr>
        <w:t>）的缩写，即“</w:t>
      </w:r>
      <w:r>
        <w:t>bkrs</w:t>
      </w:r>
      <w:r>
        <w:rPr>
          <w:rFonts w:hint="eastAsia"/>
        </w:rPr>
        <w:t>”。</w:t>
      </w:r>
    </w:p>
    <w:p>
      <w:pPr>
        <w:pStyle w:val="19"/>
        <w:wordWrap/>
        <w:spacing w:before="156" w:beforeLines="50" w:after="0" w:line="560" w:lineRule="exact"/>
      </w:pPr>
      <w:r>
        <w:rPr>
          <w:rFonts w:cs="Times New Roman"/>
        </w:rPr>
        <w:t>5</w:t>
      </w:r>
      <w:r>
        <w:rPr>
          <w:rFonts w:hint="eastAsia" w:cs="Times New Roman"/>
        </w:rPr>
        <w:t>．</w:t>
      </w:r>
      <w:r>
        <w:rPr>
          <w:rFonts w:hint="eastAsia"/>
        </w:rPr>
        <w:t>模式文件</w:t>
      </w:r>
    </w:p>
    <w:p>
      <w:pPr>
        <w:pStyle w:val="14"/>
        <w:wordWrap/>
        <w:spacing w:after="0" w:line="560" w:lineRule="exact"/>
      </w:pPr>
      <w:r>
        <w:rPr>
          <w:rFonts w:hint="eastAsia"/>
        </w:rPr>
        <w:t>《银行电子对账单标准》使用模式文件定义元素、扩展链接角色等对象，文件后缀为“.xsd”，根据银行电子对账单内容确定的元素及扩展链接角色均存放在该</w:t>
      </w:r>
      <w:r>
        <w:rPr>
          <w:rFonts w:hint="eastAsia"/>
          <w:lang w:eastAsia="zh-CN"/>
        </w:rPr>
        <w:t>类</w:t>
      </w:r>
      <w:r>
        <w:rPr>
          <w:rFonts w:hint="eastAsia"/>
        </w:rPr>
        <w:t>文件中。</w:t>
      </w:r>
    </w:p>
    <w:p>
      <w:pPr>
        <w:pStyle w:val="19"/>
        <w:wordWrap/>
        <w:spacing w:after="0" w:line="560" w:lineRule="exact"/>
      </w:pPr>
      <w:r>
        <w:t>6</w:t>
      </w:r>
      <w:r>
        <w:rPr>
          <w:rFonts w:hint="eastAsia"/>
        </w:rPr>
        <w:t>．链接库</w:t>
      </w:r>
    </w:p>
    <w:p>
      <w:pPr>
        <w:pStyle w:val="14"/>
        <w:wordWrap/>
        <w:spacing w:after="0" w:line="560" w:lineRule="exact"/>
      </w:pPr>
      <w:r>
        <w:rPr>
          <w:rFonts w:hint="eastAsia"/>
        </w:rPr>
        <w:t>链接库是用来定义元素间关系及元素资源间关系的文件。《银行电子对账单标准》使用了</w:t>
      </w:r>
      <w:r>
        <w:t>3</w:t>
      </w:r>
      <w:r>
        <w:rPr>
          <w:rFonts w:hint="eastAsia"/>
        </w:rPr>
        <w:t>种</w:t>
      </w:r>
      <w:bookmarkStart w:id="4" w:name="OLE_LINK52"/>
      <w:bookmarkStart w:id="5" w:name="OLE_LINK51"/>
      <w:r>
        <w:rPr>
          <w:rFonts w:hint="eastAsia"/>
        </w:rPr>
        <w:t>链接库：列报链接库（Presentation linkbase）、标签链接库（Label linkbase）</w:t>
      </w:r>
      <w:bookmarkEnd w:id="4"/>
      <w:bookmarkEnd w:id="5"/>
      <w:r>
        <w:rPr>
          <w:rFonts w:hint="eastAsia"/>
        </w:rPr>
        <w:t>和参考链接库（</w:t>
      </w:r>
      <w:r>
        <w:t>Reference Linkbase</w:t>
      </w:r>
      <w:r>
        <w:rPr>
          <w:rFonts w:hint="eastAsia"/>
        </w:rPr>
        <w:t>）。</w:t>
      </w:r>
      <w:r>
        <w:t xml:space="preserve">  </w:t>
      </w:r>
    </w:p>
    <w:p>
      <w:pPr>
        <w:pStyle w:val="23"/>
        <w:wordWrap/>
        <w:spacing w:after="0" w:line="560" w:lineRule="exact"/>
      </w:pPr>
      <w:r>
        <w:rPr>
          <w:rFonts w:hint="eastAsia"/>
        </w:rPr>
        <w:t>（1）列报链接库</w:t>
      </w:r>
    </w:p>
    <w:p>
      <w:pPr>
        <w:pStyle w:val="14"/>
        <w:wordWrap/>
        <w:spacing w:after="0" w:line="560" w:lineRule="exact"/>
      </w:pPr>
      <w:r>
        <w:rPr>
          <w:rFonts w:hint="eastAsia"/>
        </w:rPr>
        <w:t>列报链接库用来定义元素与元素在列报上的层级关系和顺序关系。为了确保列报层级的一致性和元素间关系的连续性，《银行电子对账单标准》在列报链接库的每一个扩展链接角色（ELR）中，都设置了一个抽象概念作为父元素。</w:t>
      </w:r>
    </w:p>
    <w:p>
      <w:pPr>
        <w:pStyle w:val="23"/>
        <w:wordWrap/>
        <w:spacing w:after="0" w:line="560" w:lineRule="exact"/>
      </w:pPr>
      <w:r>
        <w:rPr>
          <w:rFonts w:hint="eastAsia"/>
        </w:rPr>
        <w:t>（</w:t>
      </w:r>
      <w:r>
        <w:t>2</w:t>
      </w:r>
      <w:r>
        <w:rPr>
          <w:rFonts w:hint="eastAsia"/>
        </w:rPr>
        <w:t>）标签链接库</w:t>
      </w:r>
    </w:p>
    <w:p>
      <w:pPr>
        <w:pStyle w:val="14"/>
        <w:wordWrap/>
        <w:spacing w:after="0" w:line="560" w:lineRule="exact"/>
      </w:pPr>
      <w:r>
        <w:rPr>
          <w:rFonts w:hint="eastAsia"/>
        </w:rPr>
        <w:t>标签链接库用来表示元素及其显示名称间的对应关系，以将元素与人们更容易阅读和理解的名称联系起来。《银行电子对账单标准》同时使用中文、英文定义元素标签。在确定标签时，遵循可读、简明、一致的命名规则。</w:t>
      </w:r>
    </w:p>
    <w:p>
      <w:pPr>
        <w:pStyle w:val="14"/>
        <w:wordWrap/>
        <w:spacing w:after="0" w:line="560" w:lineRule="exact"/>
      </w:pPr>
      <w:r>
        <w:rPr>
          <w:rFonts w:hint="eastAsia"/>
        </w:rPr>
        <w:t>同一个元素可能有多个不同标签，在同一种语言下每个标签有唯一的标签角色。标签角色规定了相应元素在特定情形下应当显示的恰当标签。《银行电子对账单标准》使用的标签角色及说明如表</w:t>
      </w:r>
      <w:r>
        <w:t>5</w:t>
      </w:r>
      <w:r>
        <w:rPr>
          <w:rFonts w:hint="eastAsia"/>
        </w:rPr>
        <w:t>所示。</w:t>
      </w:r>
    </w:p>
    <w:p>
      <w:pPr>
        <w:pStyle w:val="14"/>
        <w:numPr>
          <w:ilvl w:val="0"/>
          <w:numId w:val="4"/>
        </w:numPr>
        <w:wordWrap/>
        <w:spacing w:after="0" w:line="560" w:lineRule="exact"/>
        <w:ind w:firstLineChars="0"/>
        <w:jc w:val="center"/>
        <w:rPr>
          <w:b/>
          <w:sz w:val="24"/>
          <w:szCs w:val="24"/>
        </w:rPr>
      </w:pPr>
      <w:r>
        <w:rPr>
          <w:rFonts w:hint="eastAsia"/>
          <w:b/>
          <w:sz w:val="24"/>
          <w:szCs w:val="24"/>
        </w:rPr>
        <w:t>标签角色及说明</w:t>
      </w:r>
    </w:p>
    <w:tbl>
      <w:tblPr>
        <w:tblStyle w:val="6"/>
        <w:tblW w:w="9907" w:type="dxa"/>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462"/>
        <w:gridCol w:w="4600"/>
        <w:gridCol w:w="3845"/>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blHeader/>
        </w:trPr>
        <w:tc>
          <w:tcPr>
            <w:tcW w:w="146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600"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3845"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3845"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3845"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46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3845"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23"/>
        <w:wordWrap/>
        <w:spacing w:after="0"/>
      </w:pPr>
      <w:r>
        <w:rPr>
          <w:rFonts w:hint="eastAsia"/>
        </w:rPr>
        <w:t>（</w:t>
      </w:r>
      <w:r>
        <w:t>3</w:t>
      </w:r>
      <w:r>
        <w:rPr>
          <w:rFonts w:hint="eastAsia"/>
        </w:rPr>
        <w:t>）参考链接库</w:t>
      </w:r>
    </w:p>
    <w:p>
      <w:pPr>
        <w:pStyle w:val="14"/>
        <w:wordWrap/>
        <w:spacing w:after="0"/>
      </w:pPr>
      <w:r>
        <w:rPr>
          <w:rFonts w:hint="eastAsia"/>
        </w:rPr>
        <w:t>参考链接库用来说明元素与其参考文件之间的对应关系。《银行电子对账单标准》采用参考链接库来说明银行电子对账单币种与国际国内货币通用代码标准之间的对应关系，明确元素来源的标准依据，便于使用者查找和填报适合的元素事实值。</w:t>
      </w:r>
    </w:p>
    <w:p>
      <w:pPr>
        <w:pStyle w:val="13"/>
        <w:wordWrap/>
        <w:spacing w:line="560" w:lineRule="exact"/>
        <w:ind w:firstLine="0" w:firstLineChars="0"/>
        <w:outlineLvl w:val="1"/>
      </w:pPr>
      <w:r>
        <w:rPr>
          <w:rFonts w:hint="eastAsia"/>
        </w:rPr>
        <w:t>（三）X</w:t>
      </w:r>
      <w:r>
        <w:t>BRL</w:t>
      </w:r>
      <w:r>
        <w:rPr>
          <w:rFonts w:hint="eastAsia"/>
        </w:rPr>
        <w:t>实例文档要素说明</w:t>
      </w:r>
    </w:p>
    <w:p>
      <w:pPr>
        <w:pStyle w:val="14"/>
        <w:wordWrap/>
        <w:spacing w:after="0" w:line="560" w:lineRule="exact"/>
      </w:pPr>
      <w:r>
        <w:rPr>
          <w:rFonts w:hint="eastAsia"/>
        </w:rPr>
        <w:t>实例文档作为银行电子对账单结构化数据的载体，不仅包含了数据本身及其与《银行电子对账单标准》元素之间的对应关系，同时也包含了数据相关的属性信息（如数据所属</w:t>
      </w:r>
      <w:r>
        <w:rPr>
          <w:rFonts w:hint="eastAsia"/>
          <w:lang w:eastAsia="zh-CN"/>
        </w:rPr>
        <w:t>时期</w:t>
      </w:r>
      <w:r>
        <w:rPr>
          <w:rFonts w:hint="eastAsia"/>
        </w:rPr>
        <w:t>、单位等），这些信息使得标记数据能够与业务场景紧密关联起来。</w:t>
      </w:r>
    </w:p>
    <w:p>
      <w:pPr>
        <w:pStyle w:val="14"/>
        <w:wordWrap/>
        <w:spacing w:after="0" w:line="560" w:lineRule="exact"/>
      </w:pPr>
      <w:r>
        <w:rPr>
          <w:rFonts w:hint="eastAsia"/>
        </w:rPr>
        <w:t>实例文档共包含五类内容，分别是根元素（</w:t>
      </w:r>
      <w:r>
        <w:t>xbrli:xbrl</w:t>
      </w:r>
      <w:r>
        <w:rPr>
          <w:rFonts w:hint="eastAsia"/>
        </w:rPr>
        <w:t>）、标准引用（</w:t>
      </w:r>
      <w:r>
        <w:t>link:schemaRef</w:t>
      </w:r>
      <w:r>
        <w:rPr>
          <w:rFonts w:hint="eastAsia"/>
        </w:rPr>
        <w:t>）、事实值（fact</w:t>
      </w:r>
      <w:r>
        <w:t>）</w:t>
      </w:r>
      <w:r>
        <w:rPr>
          <w:rFonts w:hint="eastAsia"/>
        </w:rPr>
        <w:t>、上下文（context）、单位（</w:t>
      </w:r>
      <w:r>
        <w:t>unit</w:t>
      </w:r>
      <w:r>
        <w:rPr>
          <w:rFonts w:hint="eastAsia"/>
        </w:rPr>
        <w:t>）和精确度，使用者可结合五个要素的具体信息来进一步理解实例文档。</w:t>
      </w:r>
    </w:p>
    <w:p>
      <w:pPr>
        <w:pStyle w:val="19"/>
        <w:wordWrap/>
        <w:spacing w:after="0" w:line="560" w:lineRule="exact"/>
        <w:rPr>
          <w:b w:val="0"/>
          <w:bCs/>
        </w:rPr>
      </w:pPr>
      <w:r>
        <w:rPr>
          <w:rFonts w:hint="eastAsia"/>
          <w:bCs/>
        </w:rPr>
        <w:t>1</w:t>
      </w:r>
      <w:r>
        <w:rPr>
          <w:rFonts w:hint="eastAsia" w:cs="Times New Roman"/>
        </w:rPr>
        <w:t>．</w:t>
      </w:r>
      <w:r>
        <w:rPr>
          <w:rFonts w:hint="eastAsia"/>
          <w:bCs/>
        </w:rPr>
        <w:t>根元素</w:t>
      </w:r>
    </w:p>
    <w:p>
      <w:pPr>
        <w:pStyle w:val="14"/>
        <w:wordWrap/>
        <w:spacing w:after="0" w:line="560" w:lineRule="exact"/>
      </w:pPr>
      <w:r>
        <w:rPr>
          <w:rFonts w:hint="eastAsia"/>
        </w:rPr>
        <w:t>实例文档根元素的标签名是&lt;xbrli:xbrl&gt;，根元素标签的属性是实例文档所引用的所有命名空间信息，其中也包括《银行电子对账单标准》前缀bkrs，具体如下表</w:t>
      </w:r>
      <w:r>
        <w:t>6</w:t>
      </w:r>
      <w:r>
        <w:rPr>
          <w:rFonts w:hint="eastAsia"/>
        </w:rPr>
        <w:t>所示：</w:t>
      </w:r>
    </w:p>
    <w:p>
      <w:pPr>
        <w:pStyle w:val="14"/>
        <w:numPr>
          <w:ilvl w:val="0"/>
          <w:numId w:val="4"/>
        </w:numPr>
        <w:wordWrap/>
        <w:spacing w:after="0" w:line="560" w:lineRule="exact"/>
        <w:ind w:firstLineChars="0"/>
        <w:jc w:val="center"/>
        <w:rPr>
          <w:b/>
          <w:sz w:val="24"/>
          <w:szCs w:val="24"/>
        </w:rPr>
      </w:pPr>
      <w:r>
        <w:rPr>
          <w:rFonts w:hint="eastAsia"/>
          <w:b/>
          <w:sz w:val="24"/>
          <w:szCs w:val="24"/>
        </w:rPr>
        <w:t>《银行电子对账单标准》根元素</w:t>
      </w:r>
    </w:p>
    <w:tbl>
      <w:tblPr>
        <w:tblStyle w:val="6"/>
        <w:tblW w:w="9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7"/>
        <w:gridCol w:w="3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3475"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bkrs</w:t>
            </w:r>
          </w:p>
        </w:tc>
        <w:tc>
          <w:tcPr>
            <w:tcW w:w="5247"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w:t>
            </w:r>
            <w:r>
              <w:rPr>
                <w:rFonts w:hint="eastAsia" w:ascii="Times New Roman" w:hAnsi="Times New Roman" w:eastAsia="仿宋_GB2312"/>
                <w:sz w:val="24"/>
                <w:szCs w:val="24"/>
              </w:rPr>
              <w:t>bkrs</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银行电子对账单标准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num</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http://www.xbrl.org/dtr/type/numeric</w:t>
            </w:r>
          </w:p>
        </w:tc>
        <w:tc>
          <w:tcPr>
            <w:tcW w:w="3475" w:type="dxa"/>
          </w:tcPr>
          <w:p>
            <w:pPr>
              <w:spacing w:after="0" w:line="240" w:lineRule="auto"/>
              <w:jc w:val="both"/>
              <w:rPr>
                <w:rFonts w:ascii="Times New Roman" w:hAnsi="Times New Roman" w:eastAsia="仿宋_GB2312"/>
                <w:color w:val="000000"/>
                <w:sz w:val="24"/>
                <w:szCs w:val="24"/>
              </w:rPr>
            </w:pPr>
            <w:r>
              <w:rPr>
                <w:rFonts w:hint="eastAsia"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xbrldt</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http://xbrl.org/2005/xbrldt</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立方体、维度替换组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247"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3475"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247"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3475"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19"/>
        <w:wordWrap/>
        <w:spacing w:after="0" w:line="560" w:lineRule="exact"/>
        <w:rPr>
          <w:b w:val="0"/>
          <w:bCs/>
        </w:rPr>
      </w:pPr>
      <w:r>
        <w:rPr>
          <w:rFonts w:hint="eastAsia"/>
          <w:bCs/>
        </w:rPr>
        <w:t>2</w:t>
      </w:r>
      <w:r>
        <w:rPr>
          <w:rFonts w:hint="eastAsia" w:cs="Times New Roman"/>
        </w:rPr>
        <w:t>．</w:t>
      </w:r>
      <w:r>
        <w:rPr>
          <w:rFonts w:hint="eastAsia"/>
          <w:bCs/>
        </w:rPr>
        <w:t>标准引用</w:t>
      </w:r>
    </w:p>
    <w:p>
      <w:pPr>
        <w:pStyle w:val="14"/>
        <w:wordWrap/>
        <w:spacing w:after="0" w:line="560" w:lineRule="exact"/>
      </w:pPr>
      <w:r>
        <w:rPr>
          <w:rFonts w:hint="eastAsia"/>
        </w:rPr>
        <w:t>每一份实例文档都是基于一套标准编制的，标准是解析实例文档的基础。在根标签中，使用</w:t>
      </w:r>
      <w:r>
        <w:t>&lt;link:schemaRef&gt;</w:t>
      </w:r>
      <w:r>
        <w:rPr>
          <w:rFonts w:hint="eastAsia"/>
        </w:rPr>
        <w:t>标签定义实例文档对《银行电子对账单标准》文件的引用，通过“</w:t>
      </w:r>
      <w:r>
        <w:t>xlink:href</w:t>
      </w:r>
      <w:r>
        <w:rPr>
          <w:rFonts w:hint="eastAsia"/>
        </w:rPr>
        <w:t>”指向引用《银行电子对账单标准》的相对路径根目录：</w:t>
      </w:r>
    </w:p>
    <w:p>
      <w:pPr>
        <w:pStyle w:val="14"/>
        <w:wordWrap/>
        <w:spacing w:after="0" w:line="560" w:lineRule="exact"/>
        <w:ind w:firstLine="0" w:firstLineChars="0"/>
        <w:rPr>
          <w:sz w:val="26"/>
          <w:szCs w:val="26"/>
        </w:rPr>
      </w:pPr>
      <w:r>
        <w:rPr>
          <w:sz w:val="26"/>
          <w:szCs w:val="26"/>
        </w:rPr>
        <w:t>&lt;link:schemaRef xlink:type="simple" link:href="bkrs_entry_point_2023-12-31.xsd"/&gt;</w:t>
      </w:r>
    </w:p>
    <w:p>
      <w:pPr>
        <w:pStyle w:val="19"/>
        <w:wordWrap/>
        <w:spacing w:after="0" w:line="560" w:lineRule="exact"/>
        <w:rPr>
          <w:b w:val="0"/>
          <w:bCs/>
        </w:rPr>
      </w:pPr>
      <w:r>
        <w:rPr>
          <w:rFonts w:hint="eastAsia"/>
          <w:bCs/>
        </w:rPr>
        <w:t>3</w:t>
      </w:r>
      <w:r>
        <w:rPr>
          <w:rFonts w:hint="eastAsia" w:cs="Times New Roman"/>
        </w:rPr>
        <w:t>．</w:t>
      </w:r>
      <w:r>
        <w:rPr>
          <w:rFonts w:hint="eastAsia"/>
          <w:bCs/>
        </w:rPr>
        <w:t>事实值</w:t>
      </w:r>
    </w:p>
    <w:p>
      <w:pPr>
        <w:pStyle w:val="14"/>
        <w:wordWrap/>
        <w:spacing w:after="0" w:line="560" w:lineRule="exact"/>
      </w:pPr>
      <w:r>
        <w:rPr>
          <w:rFonts w:hint="eastAsia"/>
        </w:rPr>
        <w:t>事实值就是银行电子对账单版面信息填写</w:t>
      </w:r>
      <w:r>
        <w:t>的</w:t>
      </w:r>
      <w:r>
        <w:rPr>
          <w:rFonts w:hint="eastAsia"/>
        </w:rPr>
        <w:t>内容，例如对于“营业网点编号”这个项目，其事实值就是银行电子对账单抬头信息中的营业网点编号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t>7</w:t>
      </w:r>
      <w:r>
        <w:rPr>
          <w:rFonts w:hint="eastAsia"/>
        </w:rPr>
        <w:t>列示了部分事实值。</w:t>
      </w:r>
    </w:p>
    <w:p>
      <w:pPr>
        <w:pStyle w:val="14"/>
        <w:numPr>
          <w:ilvl w:val="0"/>
          <w:numId w:val="4"/>
        </w:numPr>
        <w:wordWrap/>
        <w:spacing w:after="0" w:line="560" w:lineRule="exact"/>
        <w:ind w:firstLineChars="0"/>
        <w:jc w:val="center"/>
        <w:rPr>
          <w:b/>
          <w:sz w:val="24"/>
          <w:szCs w:val="24"/>
        </w:rPr>
      </w:pPr>
      <w:r>
        <w:rPr>
          <w:rFonts w:hint="eastAsia"/>
          <w:b/>
          <w:sz w:val="24"/>
          <w:szCs w:val="24"/>
        </w:rPr>
        <w:t>事实值举例</w:t>
      </w:r>
    </w:p>
    <w:tbl>
      <w:tblPr>
        <w:tblStyle w:val="6"/>
        <w:tblW w:w="9963"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4322"/>
        <w:gridCol w:w="286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银行电子对账单信息项</w:t>
            </w:r>
          </w:p>
        </w:tc>
        <w:tc>
          <w:tcPr>
            <w:tcW w:w="432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869"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交易金额</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15177.33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打印日期</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2021-08-31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原始凭证种类</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支票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记账时间</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时间型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08:34:23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银行对账单年份</w:t>
            </w:r>
          </w:p>
        </w:tc>
        <w:tc>
          <w:tcPr>
            <w:tcW w:w="432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年份型</w:t>
            </w:r>
          </w:p>
        </w:tc>
        <w:tc>
          <w:tcPr>
            <w:tcW w:w="286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021</w:t>
            </w:r>
          </w:p>
        </w:tc>
      </w:tr>
    </w:tbl>
    <w:p>
      <w:pPr>
        <w:pStyle w:val="19"/>
        <w:wordWrap/>
        <w:spacing w:after="0" w:line="560" w:lineRule="exact"/>
        <w:ind w:firstLineChars="0"/>
        <w:outlineLvl w:val="9"/>
        <w:rPr>
          <w:b w:val="0"/>
          <w:bCs/>
        </w:rPr>
      </w:pPr>
      <w:r>
        <w:rPr>
          <w:rFonts w:hint="eastAsia" w:cs="Times New Roman"/>
          <w:b w:val="0"/>
          <w:bCs/>
        </w:rPr>
        <w:t>（1）</w:t>
      </w:r>
      <w:r>
        <w:rPr>
          <w:rFonts w:hint="eastAsia"/>
          <w:b w:val="0"/>
          <w:bCs/>
        </w:rPr>
        <w:t>数值型事实值</w:t>
      </w:r>
    </w:p>
    <w:p>
      <w:pPr>
        <w:pStyle w:val="14"/>
        <w:wordWrap/>
        <w:spacing w:after="0" w:line="560" w:lineRule="exact"/>
      </w:pPr>
      <w:r>
        <w:rPr>
          <w:rFonts w:hint="eastAsia"/>
        </w:rPr>
        <w:t>数值型事实值的定义，除了通过contextRef指向一个预定义的上下文（context），还会通过unitRef指向一个预定义的单位（unit），并通过事实值的decimal</w:t>
      </w:r>
      <w:r>
        <w:t>s</w:t>
      </w:r>
      <w:r>
        <w:rPr>
          <w:rFonts w:hint="eastAsia"/>
        </w:rPr>
        <w:t>（小数点后位数）属性表达数据的精确度，图</w:t>
      </w:r>
      <w:r>
        <w:t>4</w:t>
      </w:r>
      <w:r>
        <w:rPr>
          <w:rFonts w:hint="eastAsia"/>
        </w:rPr>
        <w:t>是“交易金额”对应的事实值定义信息：</w:t>
      </w:r>
    </w:p>
    <w:tbl>
      <w:tblPr>
        <w:tblStyle w:val="7"/>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pStyle w:val="14"/>
              <w:spacing w:after="312" w:afterLines="100" w:line="560" w:lineRule="exact"/>
              <w:ind w:firstLine="0" w:firstLineChars="0"/>
              <w:rPr>
                <w:sz w:val="24"/>
                <w:szCs w:val="24"/>
              </w:rPr>
            </w:pPr>
            <w:r>
              <w:rPr>
                <w:sz w:val="24"/>
                <w:szCs w:val="24"/>
              </w:rPr>
              <w:t xml:space="preserve">    &lt;bkrs:TransactionAmount decimals="2" contextRef="</w:t>
            </w:r>
            <w:r>
              <w:rPr>
                <w:rFonts w:hint="eastAsia"/>
                <w:sz w:val="24"/>
                <w:szCs w:val="24"/>
              </w:rPr>
              <w:t>c</w:t>
            </w:r>
            <w:r>
              <w:rPr>
                <w:sz w:val="24"/>
                <w:szCs w:val="24"/>
              </w:rPr>
              <w:t>1" unitRef="CNY"&gt;15177.33&lt;/bkrs:TransactionAmount&gt;</w:t>
            </w:r>
          </w:p>
        </w:tc>
      </w:tr>
    </w:tbl>
    <w:p>
      <w:pPr>
        <w:pStyle w:val="14"/>
        <w:numPr>
          <w:ilvl w:val="0"/>
          <w:numId w:val="5"/>
        </w:numPr>
        <w:wordWrap/>
        <w:spacing w:after="0" w:line="560" w:lineRule="exact"/>
        <w:ind w:firstLineChars="0"/>
        <w:jc w:val="center"/>
        <w:rPr>
          <w:b/>
          <w:sz w:val="24"/>
          <w:szCs w:val="24"/>
        </w:rPr>
      </w:pPr>
      <w:r>
        <w:rPr>
          <w:rFonts w:hint="eastAsia"/>
          <w:b/>
          <w:sz w:val="24"/>
          <w:szCs w:val="24"/>
        </w:rPr>
        <w:t>数值型事实值定义方式示例</w:t>
      </w:r>
    </w:p>
    <w:p>
      <w:pPr>
        <w:pStyle w:val="19"/>
        <w:wordWrap/>
        <w:spacing w:after="0" w:line="560" w:lineRule="exact"/>
        <w:ind w:firstLine="560"/>
        <w:outlineLvl w:val="9"/>
        <w:rPr>
          <w:b w:val="0"/>
          <w:bCs/>
        </w:rPr>
      </w:pPr>
      <w:r>
        <w:rPr>
          <w:rFonts w:hint="eastAsia" w:cs="Times New Roman"/>
          <w:b w:val="0"/>
          <w:bCs/>
        </w:rPr>
        <w:t>（2）</w:t>
      </w:r>
      <w:r>
        <w:rPr>
          <w:rFonts w:hint="eastAsia"/>
          <w:b w:val="0"/>
          <w:bCs/>
        </w:rPr>
        <w:t>非数值型事实值</w:t>
      </w:r>
    </w:p>
    <w:p>
      <w:pPr>
        <w:pStyle w:val="14"/>
        <w:wordWrap/>
        <w:spacing w:after="0" w:line="560" w:lineRule="exact"/>
      </w:pPr>
      <w:r>
        <w:rPr>
          <w:rFonts w:hint="eastAsia"/>
        </w:rPr>
        <w:t>非数值型事实值的定义，是将事实值赋予给对应的元素名，并通过contextRef指向一个预定义的上下文（context），图</w:t>
      </w:r>
      <w:r>
        <w:t>5</w:t>
      </w:r>
      <w:r>
        <w:rPr>
          <w:rFonts w:hint="eastAsia"/>
        </w:rPr>
        <w:t>为“原始凭证种类”对应的事实值定义信息：</w:t>
      </w:r>
    </w:p>
    <w:tbl>
      <w:tblPr>
        <w:tblStyle w:val="7"/>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pStyle w:val="14"/>
              <w:spacing w:after="312" w:afterLines="100" w:line="560" w:lineRule="exact"/>
              <w:ind w:firstLine="0" w:firstLineChars="0"/>
              <w:rPr>
                <w:sz w:val="24"/>
                <w:szCs w:val="24"/>
              </w:rPr>
            </w:pPr>
            <w:r>
              <w:rPr>
                <w:rFonts w:hint="eastAsia"/>
                <w:sz w:val="24"/>
                <w:szCs w:val="24"/>
              </w:rPr>
              <w:t xml:space="preserve">   &lt;bkrs:TypeOfSourceDocument contextRef="</w:t>
            </w:r>
            <w:r>
              <w:rPr>
                <w:sz w:val="24"/>
                <w:szCs w:val="24"/>
              </w:rPr>
              <w:t>c1</w:t>
            </w:r>
            <w:r>
              <w:rPr>
                <w:rFonts w:hint="eastAsia"/>
                <w:sz w:val="24"/>
                <w:szCs w:val="24"/>
              </w:rPr>
              <w:t>"&gt;支票&lt;/bkrs:TypeOfSourceDocument&gt;</w:t>
            </w:r>
          </w:p>
        </w:tc>
      </w:tr>
    </w:tbl>
    <w:p>
      <w:pPr>
        <w:pStyle w:val="14"/>
        <w:numPr>
          <w:ilvl w:val="0"/>
          <w:numId w:val="5"/>
        </w:numPr>
        <w:wordWrap/>
        <w:spacing w:after="0" w:line="560" w:lineRule="exact"/>
        <w:ind w:firstLineChars="0"/>
        <w:jc w:val="center"/>
        <w:rPr>
          <w:b/>
          <w:sz w:val="24"/>
          <w:szCs w:val="24"/>
        </w:rPr>
      </w:pPr>
      <w:r>
        <w:rPr>
          <w:rFonts w:hint="eastAsia"/>
          <w:b/>
          <w:sz w:val="24"/>
          <w:szCs w:val="24"/>
        </w:rPr>
        <w:t>非数值型事实值定义方式示例</w:t>
      </w:r>
    </w:p>
    <w:p>
      <w:pPr>
        <w:pStyle w:val="19"/>
        <w:wordWrap/>
        <w:spacing w:after="0" w:line="560" w:lineRule="exact"/>
        <w:rPr>
          <w:b w:val="0"/>
          <w:bCs/>
        </w:rPr>
      </w:pPr>
      <w:r>
        <w:rPr>
          <w:rFonts w:hint="eastAsia"/>
          <w:bCs/>
        </w:rPr>
        <w:t>4</w:t>
      </w:r>
      <w:r>
        <w:rPr>
          <w:rFonts w:hint="eastAsia" w:cs="Times New Roman"/>
        </w:rPr>
        <w:t>．</w:t>
      </w:r>
      <w:r>
        <w:rPr>
          <w:rFonts w:hint="eastAsia"/>
          <w:bCs/>
        </w:rPr>
        <w:t>上下文</w:t>
      </w:r>
    </w:p>
    <w:p>
      <w:pPr>
        <w:pStyle w:val="14"/>
        <w:wordWrap/>
        <w:spacing w:after="0" w:line="560" w:lineRule="exact"/>
      </w:pPr>
      <w:r>
        <w:rPr>
          <w:rFonts w:hint="eastAsia"/>
        </w:rPr>
        <w:t>每个事实值都会通过contextRef属性赋予的上下文ID指向预定义的上下文（context）。</w:t>
      </w:r>
      <w:r>
        <w:t>通过指定上下文，才能够确定事实值的具体含义</w:t>
      </w:r>
      <w:r>
        <w:rPr>
          <w:rFonts w:hint="eastAsia"/>
        </w:rPr>
        <w:t>。</w:t>
      </w:r>
    </w:p>
    <w:p>
      <w:pPr>
        <w:pStyle w:val="14"/>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19"/>
        <w:wordWrap/>
        <w:spacing w:after="0" w:line="560" w:lineRule="exact"/>
        <w:ind w:left="562" w:firstLine="0" w:firstLineChars="0"/>
        <w:outlineLvl w:val="9"/>
        <w:rPr>
          <w:b w:val="0"/>
          <w:bCs/>
        </w:rPr>
      </w:pPr>
      <w:r>
        <w:rPr>
          <w:rFonts w:hint="eastAsia" w:cs="Times New Roman"/>
          <w:b w:val="0"/>
          <w:bCs/>
        </w:rPr>
        <w:t>（1）</w:t>
      </w:r>
      <w:r>
        <w:rPr>
          <w:rFonts w:hint="eastAsia"/>
          <w:b w:val="0"/>
          <w:bCs/>
        </w:rPr>
        <w:t>实体信息</w:t>
      </w:r>
    </w:p>
    <w:p>
      <w:pPr>
        <w:pStyle w:val="14"/>
        <w:spacing w:after="0"/>
        <w:rPr>
          <w:b/>
        </w:rPr>
      </w:pPr>
      <w:r>
        <w:rPr>
          <w:rFonts w:hint="eastAsia"/>
        </w:rPr>
        <w:t>实体信息即指实例文档数据的</w:t>
      </w:r>
      <w:r>
        <w:rPr>
          <w:rFonts w:hint="eastAsia"/>
          <w:lang w:eastAsia="zh-CN"/>
        </w:rPr>
        <w:t>生成者信息</w:t>
      </w:r>
      <w:r>
        <w:rPr>
          <w:rFonts w:hint="eastAsia"/>
        </w:rPr>
        <w:t>，使用标签&lt;xbrli:entity&gt;标记。在银行电子对账单中，使用签发机构的金融机构代码证编码作为实体的唯一标识码，在&lt;xbrli:identifier&gt;标签的文本中标记。</w:t>
      </w:r>
    </w:p>
    <w:p>
      <w:pPr>
        <w:pStyle w:val="19"/>
        <w:wordWrap/>
        <w:spacing w:after="0" w:line="560" w:lineRule="exact"/>
        <w:ind w:firstLine="560"/>
        <w:outlineLvl w:val="9"/>
        <w:rPr>
          <w:rFonts w:cs="Times New Roman"/>
          <w:b w:val="0"/>
          <w:bCs/>
        </w:rPr>
      </w:pPr>
      <w:r>
        <w:rPr>
          <w:rFonts w:hint="eastAsia" w:cs="Times New Roman"/>
          <w:b w:val="0"/>
          <w:bCs/>
        </w:rPr>
        <w:t>（2）时期信息</w:t>
      </w:r>
    </w:p>
    <w:p>
      <w:pPr>
        <w:pStyle w:val="14"/>
        <w:spacing w:after="0"/>
      </w:pPr>
      <w:r>
        <w:rPr>
          <w:rFonts w:hint="eastAsia"/>
          <w:color w:val="000000"/>
          <w:szCs w:val="24"/>
          <w:lang w:val="en-GB"/>
        </w:rPr>
        <w:t>时期信息</w:t>
      </w:r>
      <w:r>
        <w:rPr>
          <w:color w:val="000000"/>
          <w:szCs w:val="24"/>
          <w:lang w:val="en-GB"/>
        </w:rPr>
        <w:t>是指事实值所对应的</w:t>
      </w:r>
      <w:r>
        <w:rPr>
          <w:rFonts w:hint="eastAsia"/>
          <w:color w:val="000000"/>
          <w:szCs w:val="24"/>
          <w:lang w:val="en-GB" w:eastAsia="zh-CN"/>
        </w:rPr>
        <w:t>时点</w:t>
      </w:r>
      <w:r>
        <w:rPr>
          <w:color w:val="000000"/>
          <w:szCs w:val="24"/>
          <w:lang w:val="en-GB"/>
        </w:rPr>
        <w:t>或期间</w:t>
      </w:r>
      <w:r>
        <w:rPr>
          <w:rFonts w:hint="eastAsia"/>
          <w:color w:val="000000"/>
          <w:szCs w:val="24"/>
          <w:lang w:val="en-GB"/>
        </w:rPr>
        <w:t>，</w:t>
      </w:r>
      <w:bookmarkStart w:id="6" w:name="_GoBack"/>
      <w:bookmarkEnd w:id="6"/>
      <w:r>
        <w:rPr>
          <w:rFonts w:hint="eastAsia"/>
        </w:rPr>
        <w:t>使用标签&lt;xbrli:period&gt;标记。在银行电子对账单中，</w:t>
      </w:r>
      <w:r>
        <w:rPr>
          <w:rFonts w:hint="eastAsia"/>
          <w:lang w:eastAsia="zh-CN"/>
        </w:rPr>
        <w:t>时期</w:t>
      </w:r>
      <w:r>
        <w:rPr>
          <w:rFonts w:hint="eastAsia"/>
        </w:rPr>
        <w:t>类型均为时点型，使用&lt;xbrli:instant&gt;标签表示，统一采用yyyy-mm-dd的日期格式。</w:t>
      </w:r>
    </w:p>
    <w:p>
      <w:pPr>
        <w:pStyle w:val="19"/>
        <w:wordWrap/>
        <w:spacing w:after="0" w:line="560" w:lineRule="exact"/>
        <w:rPr>
          <w:b w:val="0"/>
          <w:bCs/>
        </w:rPr>
      </w:pPr>
      <w:r>
        <w:rPr>
          <w:rFonts w:hint="eastAsia"/>
          <w:bCs/>
        </w:rPr>
        <w:t>5</w:t>
      </w:r>
      <w:r>
        <w:rPr>
          <w:rFonts w:hint="eastAsia" w:cs="Times New Roman"/>
        </w:rPr>
        <w:t>．</w:t>
      </w:r>
      <w:r>
        <w:rPr>
          <w:rFonts w:hint="eastAsia"/>
          <w:bCs/>
        </w:rPr>
        <w:t>单位和精确度</w:t>
      </w:r>
    </w:p>
    <w:p>
      <w:pPr>
        <w:pStyle w:val="14"/>
      </w:pPr>
      <w:r>
        <w:rPr>
          <w:rFonts w:hint="eastAsia"/>
        </w:rPr>
        <w:t>单位</w:t>
      </w:r>
      <w:r>
        <w:t>是用来说明数值型数据（非字符串及转义文本）的度量单位，最常见的度量单位就是货币型的单位，例如人民币</w:t>
      </w:r>
      <w:r>
        <w:rPr>
          <w:rFonts w:hint="eastAsia"/>
          <w:lang w:eastAsia="zh-CN"/>
        </w:rPr>
        <w:t>元</w:t>
      </w:r>
      <w:r>
        <w:t>、美元等。数值型数据的事实值应通过</w:t>
      </w:r>
      <w:r>
        <w:rPr>
          <w:rFonts w:hint="eastAsia"/>
        </w:rPr>
        <w:t>单位指向（</w:t>
      </w:r>
      <w:r>
        <w:t>unitRef</w:t>
      </w:r>
      <w:r>
        <w:rPr>
          <w:rFonts w:hint="eastAsia"/>
        </w:rPr>
        <w:t>）</w:t>
      </w:r>
      <w:r>
        <w:t>属性</w:t>
      </w:r>
      <w:r>
        <w:rPr>
          <w:rFonts w:hint="eastAsia"/>
        </w:rPr>
        <w:t>将定义</w:t>
      </w:r>
      <w:r>
        <w:t>的单位ID（</w:t>
      </w:r>
      <w:r>
        <w:rPr>
          <w:rFonts w:hint="eastAsia"/>
        </w:rPr>
        <w:t>u</w:t>
      </w:r>
      <w:r>
        <w:t>nit ID）指向一个预定</w:t>
      </w:r>
      <w:r>
        <w:rPr>
          <w:rFonts w:hint="eastAsia"/>
        </w:rPr>
        <w:t>义</w:t>
      </w:r>
      <w:r>
        <w:t>的单位；对事实值单位的定义同时也指明了事实值的含义，如为货币型元素赋值时，通过单位的定义能够明确金额所代表的币种</w:t>
      </w:r>
      <w:r>
        <w:rPr>
          <w:rFonts w:hint="eastAsia"/>
          <w:lang w:val="en-GB"/>
        </w:rPr>
        <w:t>和货币计量单位</w:t>
      </w:r>
      <w:r>
        <w:t>。</w:t>
      </w:r>
      <w:r>
        <w:rPr>
          <w:rFonts w:hint="eastAsia"/>
        </w:rPr>
        <w:t>表</w:t>
      </w:r>
      <w:r>
        <w:t>8展示了</w:t>
      </w:r>
      <w:r>
        <w:rPr>
          <w:rFonts w:hint="eastAsia"/>
        </w:rPr>
        <w:t>货币型元素常用的</w:t>
      </w:r>
      <w:r>
        <w:t>单位定义。</w:t>
      </w:r>
    </w:p>
    <w:p>
      <w:pPr>
        <w:pStyle w:val="14"/>
        <w:numPr>
          <w:ilvl w:val="0"/>
          <w:numId w:val="4"/>
        </w:numPr>
        <w:wordWrap/>
        <w:spacing w:after="0" w:line="560" w:lineRule="exact"/>
        <w:ind w:firstLineChars="0"/>
        <w:jc w:val="center"/>
        <w:rPr>
          <w:b/>
          <w:sz w:val="24"/>
          <w:szCs w:val="24"/>
        </w:rPr>
      </w:pPr>
      <w:r>
        <w:rPr>
          <w:rFonts w:hint="eastAsia"/>
          <w:b/>
          <w:sz w:val="24"/>
          <w:szCs w:val="24"/>
        </w:rPr>
        <w:t>实例文档常用单位定义举例</w:t>
      </w:r>
    </w:p>
    <w:tbl>
      <w:tblPr>
        <w:tblStyle w:val="6"/>
        <w:tblW w:w="9963"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3"/>
        <w:gridCol w:w="2303"/>
        <w:gridCol w:w="2299"/>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286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vAlign w:val="center"/>
          </w:tcPr>
          <w:p>
            <w:pPr>
              <w:spacing w:after="0" w:line="240" w:lineRule="auto"/>
              <w:jc w:val="both"/>
              <w:rPr>
                <w:rFonts w:hint="eastAsia" w:ascii="Times New Roman" w:hAnsi="Times New Roman" w:eastAsia="仿宋_GB2312"/>
                <w:color w:val="000000"/>
                <w:sz w:val="24"/>
                <w:szCs w:val="24"/>
                <w:lang w:val="en-GB" w:eastAsia="zh-CN"/>
              </w:rPr>
            </w:pPr>
            <w:r>
              <w:rPr>
                <w:rFonts w:hint="eastAsia" w:ascii="Times New Roman" w:hAnsi="Times New Roman" w:eastAsia="仿宋_GB2312"/>
                <w:color w:val="000000"/>
                <w:sz w:val="24"/>
                <w:szCs w:val="24"/>
                <w:lang w:val="en-GB"/>
              </w:rPr>
              <w:t>人民币</w:t>
            </w:r>
            <w:r>
              <w:rPr>
                <w:rFonts w:hint="eastAsia" w:ascii="Times New Roman" w:hAnsi="Times New Roman" w:eastAsia="仿宋_GB2312"/>
                <w:color w:val="000000"/>
                <w:sz w:val="24"/>
                <w:szCs w:val="24"/>
                <w:lang w:val="en-GB" w:eastAsia="zh-CN"/>
              </w:rPr>
              <w:t>元</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4"/>
      </w:pPr>
      <w:r>
        <w:rPr>
          <w:rFonts w:hint="eastAsia"/>
        </w:rPr>
        <w:t>在根标签中，使用&lt;xbrli:unit&gt;标签预定义计量单位，单位的定义方式如下图所示：</w:t>
      </w:r>
    </w:p>
    <w:tbl>
      <w:tblPr>
        <w:tblStyle w:val="7"/>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shd w:val="clear" w:color="auto" w:fill="F1F1F1" w:themeFill="background1" w:themeFillShade="F2"/>
          </w:tcPr>
          <w:p>
            <w:pPr>
              <w:pStyle w:val="14"/>
              <w:spacing w:after="0" w:line="560" w:lineRule="exact"/>
              <w:ind w:firstLine="0" w:firstLineChars="0"/>
              <w:rPr>
                <w:sz w:val="24"/>
                <w:szCs w:val="24"/>
              </w:rPr>
            </w:pPr>
            <w:r>
              <w:rPr>
                <w:sz w:val="24"/>
                <w:szCs w:val="24"/>
              </w:rPr>
              <w:t>&lt;xbrli:unit id="u1"&gt;</w:t>
            </w:r>
          </w:p>
          <w:p>
            <w:pPr>
              <w:pStyle w:val="14"/>
              <w:spacing w:after="0" w:line="560" w:lineRule="exact"/>
              <w:ind w:firstLine="480"/>
              <w:rPr>
                <w:sz w:val="24"/>
                <w:szCs w:val="24"/>
              </w:rPr>
            </w:pPr>
            <w:r>
              <w:rPr>
                <w:sz w:val="24"/>
                <w:szCs w:val="24"/>
              </w:rPr>
              <w:t>&lt;xbrli:measure&gt;iso4217:CNY&lt;/xbrli:measure&gt;</w:t>
            </w:r>
          </w:p>
          <w:p>
            <w:pPr>
              <w:pStyle w:val="14"/>
              <w:spacing w:after="0" w:line="560" w:lineRule="exact"/>
              <w:ind w:firstLine="0" w:firstLineChars="0"/>
              <w:rPr>
                <w:sz w:val="24"/>
                <w:szCs w:val="24"/>
              </w:rPr>
            </w:pPr>
            <w:r>
              <w:rPr>
                <w:sz w:val="24"/>
                <w:szCs w:val="24"/>
              </w:rPr>
              <w:t>&lt;/xbrli:unit&gt;</w:t>
            </w:r>
          </w:p>
        </w:tc>
      </w:tr>
    </w:tbl>
    <w:p>
      <w:pPr>
        <w:pStyle w:val="14"/>
        <w:numPr>
          <w:ilvl w:val="0"/>
          <w:numId w:val="5"/>
        </w:numPr>
        <w:wordWrap/>
        <w:spacing w:after="0" w:line="560" w:lineRule="exact"/>
        <w:ind w:firstLineChars="0"/>
        <w:jc w:val="center"/>
        <w:rPr>
          <w:b/>
          <w:sz w:val="24"/>
          <w:szCs w:val="24"/>
        </w:rPr>
      </w:pPr>
      <w:r>
        <w:rPr>
          <w:rFonts w:hint="eastAsia"/>
          <w:b/>
          <w:sz w:val="24"/>
          <w:szCs w:val="24"/>
        </w:rPr>
        <w:t>单位信息标记示例</w:t>
      </w:r>
    </w:p>
    <w:p>
      <w:pPr>
        <w:pStyle w:val="14"/>
        <w:wordWrap/>
        <w:spacing w:after="0" w:line="560" w:lineRule="exact"/>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属性比采用precision属性能够更直观地展示数据的精度。表</w:t>
      </w:r>
      <w:r>
        <w:t>9</w:t>
      </w:r>
      <w:r>
        <w:rPr>
          <w:rFonts w:hint="eastAsia"/>
        </w:rPr>
        <w:t>列示了</w:t>
      </w:r>
      <w:r>
        <w:t>数值型数据使用decimals属性的例子</w:t>
      </w:r>
      <w:r>
        <w:rPr>
          <w:rFonts w:hint="eastAsia"/>
        </w:rPr>
        <w:t>。</w:t>
      </w:r>
    </w:p>
    <w:p>
      <w:pPr>
        <w:pStyle w:val="14"/>
        <w:numPr>
          <w:ilvl w:val="0"/>
          <w:numId w:val="4"/>
        </w:numPr>
        <w:wordWrap/>
        <w:spacing w:after="0" w:line="560" w:lineRule="exact"/>
        <w:ind w:firstLineChars="0"/>
        <w:jc w:val="center"/>
        <w:rPr>
          <w:b/>
          <w:sz w:val="24"/>
          <w:szCs w:val="24"/>
        </w:rPr>
      </w:pPr>
      <w:r>
        <w:rPr>
          <w:rFonts w:hint="eastAsia"/>
          <w:b/>
          <w:sz w:val="24"/>
          <w:szCs w:val="24"/>
        </w:rPr>
        <w:t>数值型事实值的精确度举例</w:t>
      </w:r>
    </w:p>
    <w:tbl>
      <w:tblPr>
        <w:tblStyle w:val="6"/>
        <w:tblW w:w="9963"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1"/>
        <w:gridCol w:w="3320"/>
        <w:gridCol w:w="332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3"/>
        <w:wordWrap/>
        <w:spacing w:line="560" w:lineRule="exact"/>
        <w:ind w:firstLine="0" w:firstLineChars="0"/>
        <w:outlineLvl w:val="1"/>
      </w:pPr>
      <w:r>
        <w:rPr>
          <w:rFonts w:hint="eastAsia"/>
        </w:rPr>
        <w:t>（四）实例文档命名规则</w:t>
      </w:r>
    </w:p>
    <w:p>
      <w:pPr>
        <w:pStyle w:val="14"/>
        <w:wordWrap/>
        <w:spacing w:after="0" w:line="560" w:lineRule="exact"/>
      </w:pPr>
      <w:r>
        <w:rPr>
          <w:rFonts w:hint="eastAsia"/>
        </w:rPr>
        <w:t>实例文档的命名格式为</w:t>
      </w:r>
      <w:r>
        <w:t>{</w:t>
      </w:r>
      <w:r>
        <w:rPr>
          <w:rFonts w:hint="eastAsia"/>
        </w:rPr>
        <w:t>票据类型简称</w:t>
      </w:r>
      <w:r>
        <w:t>}_{</w:t>
      </w:r>
      <w:r>
        <w:rPr>
          <w:rFonts w:hint="eastAsia"/>
        </w:rPr>
        <w:t>主体</w:t>
      </w:r>
      <w:r>
        <w:t>}_</w:t>
      </w:r>
      <w:r>
        <w:rPr>
          <w:rFonts w:hint="eastAsia"/>
        </w:rPr>
        <w:t>{日期}</w:t>
      </w:r>
      <w:r>
        <w:t>_{</w:t>
      </w:r>
      <w:r>
        <w:rPr>
          <w:rFonts w:hint="eastAsia"/>
        </w:rPr>
        <w:t>票据唯一标识</w:t>
      </w:r>
      <w:r>
        <w:t>}.{文件后缀}。文件名称各组成部分之间以英文字符</w:t>
      </w:r>
      <w:r>
        <w:rPr>
          <w:rFonts w:hint="eastAsia"/>
        </w:rPr>
        <w:t>下划线</w:t>
      </w:r>
      <w:r>
        <w:t>连接。其中，{</w:t>
      </w:r>
      <w:r>
        <w:rPr>
          <w:rFonts w:hint="eastAsia"/>
        </w:rPr>
        <w:t>票据类型简称</w:t>
      </w:r>
      <w:r>
        <w:t>}</w:t>
      </w:r>
      <w:r>
        <w:rPr>
          <w:rFonts w:hint="eastAsia"/>
        </w:rPr>
        <w:t>是</w:t>
      </w:r>
      <w:r>
        <w:t>bkrs</w:t>
      </w:r>
      <w:r>
        <w:rPr>
          <w:rFonts w:hint="eastAsia"/>
        </w:rPr>
        <w:t>，即标识票据类型是银行电子对账单；</w:t>
      </w:r>
      <w:r>
        <w:t>{</w:t>
      </w:r>
      <w:r>
        <w:rPr>
          <w:rFonts w:hint="eastAsia"/>
        </w:rPr>
        <w:t>主体</w:t>
      </w:r>
      <w:r>
        <w:t>}</w:t>
      </w:r>
      <w:r>
        <w:rPr>
          <w:rFonts w:hint="eastAsia"/>
        </w:rPr>
        <w:t>用于明确实例文档主体是银行电子对账单的开具方；</w:t>
      </w:r>
      <w:r>
        <w:t>{日期}</w:t>
      </w:r>
      <w:r>
        <w:rPr>
          <w:rFonts w:hint="eastAsia"/>
        </w:rPr>
        <w:t>是打印日期，</w:t>
      </w:r>
      <w:r>
        <w:t>格式为</w:t>
      </w:r>
      <w:r>
        <w:rPr>
          <w:rFonts w:hint="eastAsia"/>
        </w:rPr>
        <w:t>yyyymmdd；</w:t>
      </w:r>
      <w:r>
        <w:t>{</w:t>
      </w:r>
      <w:r>
        <w:rPr>
          <w:rFonts w:hint="eastAsia"/>
        </w:rPr>
        <w:t>票据唯一标识}是银行电子对账单的唯一标识码，由各银行自行定义；</w:t>
      </w:r>
      <w:r>
        <w:t>{文件后缀}是</w:t>
      </w:r>
      <w:r>
        <w:rPr>
          <w:rFonts w:hint="eastAsia"/>
        </w:rPr>
        <w:t>实例文档</w:t>
      </w:r>
      <w:r>
        <w:t>的后缀，</w:t>
      </w:r>
      <w:r>
        <w:rPr>
          <w:rFonts w:hint="eastAsia"/>
          <w:lang w:eastAsia="zh-CN"/>
        </w:rPr>
        <w:t>即.xml</w:t>
      </w:r>
      <w:r>
        <w:t>。实例文档命名格式举例</w:t>
      </w:r>
      <w:r>
        <w:rPr>
          <w:rFonts w:hint="eastAsia"/>
        </w:rPr>
        <w:t>如下：</w:t>
      </w:r>
    </w:p>
    <w:p>
      <w:pPr>
        <w:pStyle w:val="14"/>
        <w:wordWrap/>
        <w:spacing w:after="0" w:line="560" w:lineRule="exact"/>
      </w:pPr>
      <w:r>
        <w:rPr>
          <w:rFonts w:hint="eastAsia"/>
        </w:rPr>
        <w:t>bkrs</w:t>
      </w:r>
      <w:r>
        <w:t>_</w:t>
      </w:r>
      <w:r>
        <w:rPr>
          <w:rFonts w:hint="eastAsia"/>
        </w:rPr>
        <w:t>yyyymmdd</w:t>
      </w:r>
      <w:r>
        <w:t>_</w:t>
      </w:r>
      <w:r>
        <w:rPr>
          <w:rFonts w:hint="eastAsia"/>
        </w:rPr>
        <w:t>对账单唯一标识.</w:t>
      </w:r>
      <w:r>
        <w:t>xml</w:t>
      </w:r>
    </w:p>
    <w:p>
      <w:pPr>
        <w:pStyle w:val="11"/>
        <w:numPr>
          <w:ilvl w:val="0"/>
          <w:numId w:val="1"/>
        </w:numPr>
        <w:wordWrap/>
        <w:spacing w:line="560" w:lineRule="exact"/>
        <w:ind w:firstLineChars="0"/>
        <w:outlineLvl w:val="0"/>
      </w:pPr>
      <w:r>
        <w:rPr>
          <w:rFonts w:hint="eastAsia"/>
        </w:rPr>
        <w:t>银行电子对账单开具方</w:t>
      </w:r>
    </w:p>
    <w:p>
      <w:pPr>
        <w:pStyle w:val="13"/>
        <w:numPr>
          <w:ilvl w:val="0"/>
          <w:numId w:val="6"/>
        </w:numPr>
        <w:wordWrap/>
        <w:spacing w:line="560" w:lineRule="exact"/>
        <w:ind w:firstLine="560" w:firstLineChars="0"/>
        <w:outlineLvl w:val="1"/>
      </w:pPr>
      <w:r>
        <w:rPr>
          <w:rFonts w:hint="eastAsia"/>
        </w:rPr>
        <w:t>银行电子对账单示例-XBRL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银行电子对账单示例</w:t>
      </w:r>
      <w:r>
        <w:rPr>
          <w:rFonts w:hint="eastAsia" w:ascii="Times New Roman" w:hAnsi="Times New Roman" w:eastAsia="仿宋_GB2312"/>
          <w:sz w:val="28"/>
          <w:szCs w:val="28"/>
          <w:lang w:eastAsia="zh-CN"/>
        </w:rPr>
        <w:t>（模拟环境生成，供参考）</w:t>
      </w:r>
      <w:r>
        <w:rPr>
          <w:rFonts w:hint="eastAsia" w:ascii="Times New Roman" w:hAnsi="Times New Roman" w:eastAsia="仿宋_GB2312"/>
          <w:sz w:val="28"/>
          <w:szCs w:val="28"/>
        </w:rPr>
        <w:t>：</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xsi:schemaLocation="http://www.xbrl.org/2003/linkbase http://www.xbrl.org/2003/xbrl-linkbase-2003-12-31.xsd" xmlns:bkrs="http://xbrl.mof.gov.cn/taxonomy/2023-12-31/bkrs" xmlns:link="http://www.xbrl.org/2003/linkbase" xmlns:iso4217="http://www.xbrl.org/2003/iso4217" xmlns:xbrli="http://www.xbrl.org/2003/instance" xmlns:xlink="http://www.w3.org/1999/xlink"&gt;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xlink:href="bkrs_entry_point_2023-12-31.xsd"/&gt;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scheme="http://xbrl.mof.gov.cn"&gt;C1030311000455&lt;/xbrli:identifier&gt;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&lt;xbrli:instant&gt;2021-08-31&lt;/xbrli:instant&gt;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&lt;bkrs:IdentificationCodeOfIssuer contextRef="c1"&gt;C1030311000455&lt;/bkrs:IdentificationCodeOfIssuer&gt;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&lt;bkrs:NumberOfBankBranch contextRef="c1"&gt;001&lt;/bkrs:NumberOfBankBranch&gt;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&lt;bkrs:Currency contextRef="c1"&gt;CNY&lt;/bkrs:Currency&gt;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&lt;bkrs:CustomerSettlementBankAccount contextRef="c1"&gt;62XX000000010001&lt;/bkrs:CustomerSettlementBankAccount&gt;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&lt;bkrs:NameOfCustomerAccount contextRef="c1"&gt;ABC公司&lt;/bkrs:NameOfCustomerAccount&gt;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&lt;bkrs:CodeOfBankCustomer contextRef="c1"&gt;A123456&lt;/bkrs:CodeOfBankCustomer&gt;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&lt;bkrs:YearOfBankReconciliationStatement contextRef="c1"&gt;2021&lt;/bkrs:YearOfBankReconciliationStatement&gt;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&lt;bkrs:MonthOfBankReconciliationStatement contextRef="c1"&gt;08&lt;/bkrs:MonthOfBankReconciliationStatement&gt;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&lt;bkrs:PrintTimes contextRef="c1"&gt;1&lt;/bkrs:PrintTimes&gt;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&lt;bkrs:PrintDate contextRef="c1"&gt;2021-08-31&lt;/bkrs:PrintDate&gt;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&lt;bkrs:DateOfBookkeeping contextRef="c1"&gt;2021-08-03&lt;/bkrs:DateOfBookkeeping&gt;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&lt;bkrs:TypesOfBusinessProducts contextRef="c1"&gt;转账&lt;/bkrs:TypesOfBusinessProducts&gt;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&lt;bkrs:BusinessSerialNumber contextRef="c1"&gt;XXXXXXXXX1&lt;/bkrs:BusinessSerialNumber&gt;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&lt;bkrs:TypeOfSourceDocument contextRef="c1"&gt;支票&lt;/bkrs:TypeOfSourceDocument&gt;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&lt;bkrs:NumberOfSourceDocument contextRef="c1"&gt;0987654321&lt;/bkrs:NumberOfSourceDocument&gt;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&lt;bkrs:NotesOfBankElectronicReceipt contextRef="c1"&gt;转账业务&lt;/bkrs:NotesOfBankElectronicReceipt&gt;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&lt;bkrs:IdentificationOfCreditOrDebit contextRef="c1"&gt;0&lt;/bkrs:IdentificationOfCreditOrDebit&gt;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&lt;bkrs:TransactionAmount decimals="2" contextRef="c1" unitRef="u1"&gt;15177.33&lt;/bkrs:TransactionAmount&gt;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&lt;bkrs:DebitOrCreditOfBalance contextRef="c1"&gt;1&lt;/bkrs:DebitOrCreditOfBalance&gt;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&lt;bkrs:AccountBalance decimals="2" contextRef="c1" unitRef="u1"&gt;95445.32&lt;/bkrs:AccountBalance&gt;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&lt;bkrs:TransactionCode contextRef="c1"&gt;42062&lt;/bkrs:TransactionCode&gt;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&lt;bkrs:AccountOfCounterparty contextRef="c1"&gt;62XX000200020002&lt;/bkrs:AccountOfCounterparty&gt;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&lt;bkrs:NameOfCounterparty contextRef="c1"&gt;DEF公司&lt;/bkrs:NameOfCounterparty&gt;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&lt;bkrs:DepositoryBankOfCounterparty contextRef="c1"&gt;XX银行北京分行&lt;/bkrs:DepositoryBankOfCounterparty&gt;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&lt;bkrs:Bookkeeper contextRef="c1"&gt;08971&lt;/bkrs:Bookkeeper&gt;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&lt;bkrs:TimeOfBookkeeping contextRef="c1"&gt;08:34:23&lt;/bkrs:TimeOfBookkeeping&gt;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&lt;bkrs:JournalAccountOfBookkeeping contextRef="c1"&gt;XX交易记录&lt;/bkrs:JournalAccountOfBookkeeping&gt;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&lt;bkrs:NumberOfBankElectronicReceipt contextRef="c1"&gt;202108039029660024300000000001&lt;/bkrs:NumberOfBankElectronicReceipt&gt;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&lt;bkrs:DateOfBookkeeping contextRef="c1"&gt;2021-08-15&lt;/bkrs:DateOfBookkeeping&gt;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&lt;bkrs:TypesOfBusinessProducts contextRef="c1"&gt;转账&lt;/bkrs:TypesOfBusinessProducts&gt;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&lt;bkrs:BusinessSerialNumber contextRef="c1"&gt;XXXXXXXXX1&lt;/bkrs:BusinessSerialNumber&gt;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&lt;bkrs:TypeOfSourceDocument contextRef="c1"&gt;支票&lt;/bkrs:TypeOfSourceDocument&gt;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&lt;bkrs:NumberOfSourceDocument contextRef="c1"&gt;1234567890&lt;/bkrs:NumberOfSourceDocument&gt;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&lt;bkrs:NotesOfBankElectronicReceipt contextRef="c1"&gt;转账业务&lt;/bkrs:NotesOfBankElectronicReceipt&gt;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&lt;bkrs:IdentificationOfCreditOrDebit contextRef="c1"&gt;1&lt;/bkrs:IdentificationOfCreditOrDebit&gt;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&lt;bkrs:TransactionAmount decimals="2" contextRef="c1" unitRef="u1"&gt;156.22&lt;/bkrs:TransactionAmount&gt;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&lt;bkrs:DebitOrCreditOfBalance contextRef="c1"&gt;1&lt;/bkrs:DebitOrCreditOfBalance&gt;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&lt;bkrs:AccountBalance decimals="2" contextRef="c1" unitRef="u1"&gt;95601.54&lt;/bkrs:AccountBalance&gt;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&lt;bkrs:TransactionCode contextRef="c1"&gt;42063&lt;/bkrs:TransactionCode&gt;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&lt;bkrs:AccountOfCounterparty contextRef="c1"&gt;62XX000300030003&lt;/bkrs:AccountOfCounterparty&gt;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&lt;bkrs:NameOfCounterparty contextRef="c1"&gt;OPQ公司&lt;/bkrs:NameOfCounterparty&gt;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&lt;bkrs:DepositoryBankOfCounterparty contextRef="c1"&gt;XX银行朝阳支行&lt;/bkrs:DepositoryBankOfCounterparty&gt;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&lt;bkrs:Bookkeeper contextRef="c1"&gt;06587&lt;/bkrs:Bookkeeper&gt;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&lt;bkrs:TimeOfBookkeeping contextRef="c1"&gt;15:34:24&lt;/bkrs:TimeOfBookkeeping&gt;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&lt;bkrs:JournalAccountOfBookkeeping contextRef="c1"&gt;XX交易记录&lt;/bkrs:JournalAccountOfBookkeeping&gt;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&lt;bkrs:NumberOfBankElectronicReceipt contextRef="c1"&gt;202108157549660024300000000001&lt;/bkrs:NumberOfBankElectronicReceipt&gt;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&lt;/bkrs:InformationOfReconcileDetailsTuple&gt;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&lt;bkrs:AccountBalanceAtTheEndOfReconciliationCycleAmount decimals="2" contextRef="c1" unitRef="u1"&gt;95601.54&lt;/bkrs:AccountBalanceAtTheEndOfReconciliationCycleAmount&gt;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&lt;bkrs:AvailableBalanceAtTheEndOfReconciliationCycleAmount decimals="2" contextRef="c1" unitRef="u1"&gt;95601.54&lt;/bkrs:AvailableBalanceAtTheEndOfReconciliationCycleAmount&gt;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3"/>
        <w:numPr>
          <w:ilvl w:val="0"/>
          <w:numId w:val="6"/>
        </w:numPr>
        <w:wordWrap/>
        <w:spacing w:line="560" w:lineRule="exact"/>
        <w:ind w:firstLine="560" w:firstLineChars="0"/>
        <w:outlineLvl w:val="1"/>
      </w:pPr>
      <w:r>
        <w:rPr>
          <w:rFonts w:hint="eastAsia"/>
        </w:rPr>
        <w:t>《银行电子对账单标准》内容架构</w:t>
      </w:r>
    </w:p>
    <w:p>
      <w:pPr>
        <w:pStyle w:val="14"/>
        <w:wordWrap/>
        <w:spacing w:after="0" w:line="560" w:lineRule="exact"/>
      </w:pPr>
      <w:r>
        <w:rPr>
          <w:rFonts w:hint="eastAsia"/>
        </w:rPr>
        <w:t>本标准对银行电子对账单信息进行了XBRL标记，表</w:t>
      </w:r>
      <w:r>
        <w:t>10</w:t>
      </w:r>
      <w:r>
        <w:rPr>
          <w:rFonts w:hint="eastAsia"/>
        </w:rPr>
        <w:t>列示了标准标记的所有字段。</w:t>
      </w:r>
    </w:p>
    <w:p>
      <w:pPr>
        <w:pStyle w:val="14"/>
        <w:numPr>
          <w:ilvl w:val="0"/>
          <w:numId w:val="4"/>
        </w:numPr>
        <w:wordWrap/>
        <w:spacing w:after="0" w:line="560" w:lineRule="exact"/>
        <w:ind w:firstLineChars="0"/>
        <w:jc w:val="center"/>
        <w:rPr>
          <w:b/>
          <w:bCs/>
          <w:sz w:val="24"/>
          <w:szCs w:val="24"/>
        </w:rPr>
      </w:pPr>
      <w:r>
        <w:rPr>
          <w:rFonts w:hint="eastAsia"/>
          <w:b/>
          <w:bCs/>
          <w:sz w:val="24"/>
          <w:szCs w:val="24"/>
        </w:rPr>
        <w:t>《银行电子对账单标准》标记内容</w:t>
      </w:r>
    </w:p>
    <w:tbl>
      <w:tblPr>
        <w:tblStyle w:val="6"/>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558"/>
        <w:gridCol w:w="1984"/>
        <w:gridCol w:w="127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4" w:hRule="atLeast"/>
          <w:tblHeader/>
          <w:jc w:val="center"/>
        </w:trPr>
        <w:tc>
          <w:tcPr>
            <w:tcW w:w="851"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序号</w:t>
            </w:r>
          </w:p>
        </w:tc>
        <w:tc>
          <w:tcPr>
            <w:tcW w:w="1558"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分组名称</w:t>
            </w:r>
          </w:p>
        </w:tc>
        <w:tc>
          <w:tcPr>
            <w:tcW w:w="1984"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字段名称</w:t>
            </w:r>
          </w:p>
        </w:tc>
        <w:tc>
          <w:tcPr>
            <w:tcW w:w="1277"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数值类型</w:t>
            </w:r>
          </w:p>
        </w:tc>
        <w:tc>
          <w:tcPr>
            <w:tcW w:w="2835" w:type="dxa"/>
            <w:shd w:val="clear" w:color="auto" w:fill="auto"/>
            <w:noWrap/>
            <w:vAlign w:val="center"/>
          </w:tcPr>
          <w:p>
            <w:pPr>
              <w:pStyle w:val="14"/>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w:t>
            </w:r>
          </w:p>
        </w:tc>
        <w:tc>
          <w:tcPr>
            <w:tcW w:w="15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对账单抬头信息</w:t>
            </w: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签发机构</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必填项，符合人民银行《金融机构编码规范》的银行总行金融机构编码（14位）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营业网点编号</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客户账户归属的网点号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币种</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必填项，采用三位国标编码，每份对账单只针对一个币种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4</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客户结算账号</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5</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客户账户名称</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6</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银行客户编码</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7</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银行对账单年份</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年份型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8</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银行对账单月份</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rFonts w:ascii="微软雅黑" w:hAnsi="微软雅黑" w:eastAsia="微软雅黑"/>
                <w:sz w:val="20"/>
                <w:szCs w:val="20"/>
              </w:rPr>
            </w:pPr>
            <w:r>
              <w:rPr>
                <w:rFonts w:hint="eastAsia"/>
                <w:bCs/>
                <w:sz w:val="24"/>
                <w:szCs w:val="24"/>
              </w:rPr>
              <w:t>必填项，填写银行对账单月份，如06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9</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打印次数</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该对账单打印次数统计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10</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打印日期</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日期型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11</w:t>
            </w:r>
          </w:p>
        </w:tc>
        <w:tc>
          <w:tcPr>
            <w:tcW w:w="15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对账明细信息</w:t>
            </w: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记账日期</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日期型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12</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业务产品种类</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区分业务种类，例如现金、转账、发报、银税等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13</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业务流水号</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交易的唯一单号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14</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原始凭证种类</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如051-支票等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15</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原始凭证号码</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如支票号码等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16</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银行电子回单信息摘要</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17</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借贷标志</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必填项，标记每条会计分录的借贷方向，其中0代表借方，1代表贷方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18</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交易金额</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19</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余额方向</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标记余额的借贷方向，其中0代表借方，1代表贷方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20</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账户余额</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21</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交易代码</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22</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对方账号</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23</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对方户名</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24</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对方开户行</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交易对手方开户行名称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25</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记账柜员</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26</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记账时间</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时间型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27</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记账流水</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28</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其他记账信息</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r>
              <w:rPr>
                <w:rFonts w:hint="eastAsia"/>
                <w:bCs/>
                <w:sz w:val="24"/>
                <w:szCs w:val="24"/>
              </w:rPr>
              <w:t>除记账柜员、时间、流水以外的其他记账信息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29</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银行电子回单编号</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字符型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30</w:t>
            </w:r>
          </w:p>
        </w:tc>
        <w:tc>
          <w:tcPr>
            <w:tcW w:w="1558" w:type="dxa"/>
            <w:vMerge w:val="restart"/>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对账周期末信息</w:t>
            </w: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对账周期末账户余额（额度）</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31</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对账周期末保留余额</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32</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对账周期末冻结余额</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33</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对账周期末透支余额</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blHeader/>
          <w:jc w:val="center"/>
        </w:trPr>
        <w:tc>
          <w:tcPr>
            <w:tcW w:w="851"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3</w:t>
            </w:r>
            <w:r>
              <w:rPr>
                <w:bCs/>
                <w:sz w:val="24"/>
                <w:szCs w:val="24"/>
              </w:rPr>
              <w:t>4</w:t>
            </w:r>
          </w:p>
        </w:tc>
        <w:tc>
          <w:tcPr>
            <w:tcW w:w="1558" w:type="dxa"/>
            <w:vMerge w:val="continue"/>
            <w:vAlign w:val="center"/>
          </w:tcPr>
          <w:p>
            <w:pPr>
              <w:pStyle w:val="14"/>
              <w:wordWrap/>
              <w:spacing w:after="0" w:line="240" w:lineRule="auto"/>
              <w:ind w:firstLine="0" w:firstLineChars="0"/>
              <w:jc w:val="center"/>
              <w:rPr>
                <w:bCs/>
                <w:sz w:val="24"/>
                <w:szCs w:val="24"/>
              </w:rPr>
            </w:pPr>
          </w:p>
        </w:tc>
        <w:tc>
          <w:tcPr>
            <w:tcW w:w="1984"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对账周期末可用余额（额度）</w:t>
            </w:r>
          </w:p>
        </w:tc>
        <w:tc>
          <w:tcPr>
            <w:tcW w:w="1277" w:type="dxa"/>
            <w:shd w:val="clear" w:color="auto" w:fill="auto"/>
            <w:noWrap/>
            <w:vAlign w:val="center"/>
          </w:tcPr>
          <w:p>
            <w:pPr>
              <w:pStyle w:val="14"/>
              <w:wordWrap/>
              <w:spacing w:after="0" w:line="240" w:lineRule="auto"/>
              <w:ind w:firstLine="0" w:firstLineChars="0"/>
              <w:jc w:val="center"/>
              <w:rPr>
                <w:bCs/>
                <w:sz w:val="24"/>
                <w:szCs w:val="24"/>
              </w:rPr>
            </w:pPr>
            <w:r>
              <w:rPr>
                <w:rFonts w:hint="eastAsia"/>
                <w:bCs/>
                <w:sz w:val="24"/>
                <w:szCs w:val="24"/>
              </w:rPr>
              <w:t>货币型</w:t>
            </w:r>
          </w:p>
        </w:tc>
        <w:tc>
          <w:tcPr>
            <w:tcW w:w="2835" w:type="dxa"/>
            <w:shd w:val="clear" w:color="auto" w:fill="auto"/>
            <w:noWrap/>
            <w:vAlign w:val="center"/>
          </w:tcPr>
          <w:p>
            <w:pPr>
              <w:pStyle w:val="14"/>
              <w:wordWrap/>
              <w:spacing w:after="0" w:line="240" w:lineRule="auto"/>
              <w:ind w:firstLine="0" w:firstLineChars="0"/>
              <w:rPr>
                <w:bCs/>
                <w:sz w:val="24"/>
                <w:szCs w:val="24"/>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银行电子对账单接收方</w:t>
      </w:r>
    </w:p>
    <w:p>
      <w:pPr>
        <w:pStyle w:val="13"/>
        <w:numPr>
          <w:ilvl w:val="0"/>
          <w:numId w:val="7"/>
        </w:numPr>
        <w:wordWrap/>
        <w:spacing w:line="560" w:lineRule="exact"/>
        <w:ind w:firstLine="560"/>
        <w:outlineLvl w:val="1"/>
        <w:rPr>
          <w:rFonts w:ascii="Times New Roman" w:hAnsi="Times New Roman"/>
        </w:rPr>
      </w:pPr>
      <w:r>
        <w:rPr>
          <w:rFonts w:hint="eastAsia" w:ascii="Times New Roman" w:hAnsi="Times New Roman"/>
        </w:rPr>
        <w:t>获取并解析电子凭证银行对账单</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单位的业务人员可通过对账单开具银行提供的官方渠道获取电子凭证银行对账单OFD文件，使用XBRL工具包解析和提取内嵌的XBRL格式的结构化数据信息，并在信息化条件下完成与日记账的核对。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可根据《银行电子对账单标准》的要求，使用XBRL工具包解析对账单结构化数据。</w:t>
      </w:r>
    </w:p>
    <w:p>
      <w:pPr>
        <w:pStyle w:val="13"/>
        <w:numPr>
          <w:ilvl w:val="0"/>
          <w:numId w:val="7"/>
        </w:numPr>
        <w:wordWrap/>
        <w:spacing w:line="560" w:lineRule="exact"/>
        <w:ind w:firstLine="560"/>
        <w:outlineLvl w:val="1"/>
        <w:rPr>
          <w:rFonts w:ascii="Times New Roman" w:hAnsi="Times New Roman"/>
        </w:rPr>
      </w:pPr>
      <w:r>
        <w:rPr>
          <w:rFonts w:hint="eastAsia" w:ascii="Times New Roman" w:hAnsi="Times New Roman"/>
        </w:rPr>
        <w:t>电子凭证银行对账单归档要求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单位以电子凭证银行对账单归档的，应当按照《财政部国家档案局关于规范电子会计凭证报销入账归档的通知》（财会〔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号）的相关规定执行。实例文档的传输、存储应安全可靠，对任何篡改都能够及时发现，作为电子凭证，应符合《会计档案管理办法》（财政部 国家档案局令第79号）的相关要求。</w:t>
      </w:r>
    </w:p>
    <w:p>
      <w:pPr>
        <w:spacing w:after="0" w:line="240" w:lineRule="auto"/>
        <w:rPr>
          <w:rFonts w:ascii="Times New Roman" w:hAnsi="Times New Roman" w:eastAsia="仿宋_GB2312"/>
          <w:sz w:val="28"/>
          <w:szCs w:val="28"/>
        </w:rPr>
      </w:pPr>
      <w:r>
        <w:rPr>
          <w:rFonts w:ascii="Times New Roman" w:hAnsi="Times New Roman" w:eastAsia="仿宋_GB2312"/>
          <w:sz w:val="28"/>
          <w:szCs w:val="28"/>
        </w:rPr>
        <w:br w:type="page"/>
      </w: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《银行电子对账单标准》术语表</w:t>
      </w:r>
    </w:p>
    <w:p>
      <w:pPr>
        <w:spacing w:after="0" w:line="560" w:lineRule="exact"/>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1．</w:t>
      </w:r>
      <w:r>
        <w:rPr>
          <w:rFonts w:ascii="Times New Roman" w:hAnsi="Times New Roman" w:eastAsia="仿宋_GB2312" w:cs="Times New Roman"/>
          <w:b/>
          <w:sz w:val="28"/>
          <w:szCs w:val="28"/>
        </w:rPr>
        <w:t>可扩展商业报告语言</w:t>
      </w:r>
      <w:r>
        <w:rPr>
          <w:rFonts w:hint="eastAsia" w:ascii="Times New Roman" w:hAnsi="Times New Roman" w:eastAsia="仿宋_GB2312" w:cs="Times New Roman"/>
          <w:b/>
          <w:sz w:val="28"/>
          <w:szCs w:val="28"/>
        </w:rPr>
        <w:t>（eX</w:t>
      </w:r>
      <w:r>
        <w:rPr>
          <w:rFonts w:ascii="Times New Roman" w:hAnsi="Times New Roman" w:eastAsia="仿宋_GB2312" w:cs="Times New Roman"/>
          <w:b/>
          <w:sz w:val="28"/>
          <w:szCs w:val="28"/>
        </w:rPr>
        <w:t>tensible Business Reporting Language</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XBRL</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一种基于可扩展置标语言（eX</w:t>
      </w:r>
      <w:r>
        <w:rPr>
          <w:rFonts w:ascii="Times New Roman" w:hAnsi="Times New Roman" w:eastAsia="仿宋_GB2312" w:cs="Times New Roman"/>
          <w:sz w:val="28"/>
          <w:szCs w:val="28"/>
        </w:rPr>
        <w:t>tensible Markup Language，XML）的开放性业务报告技术标准。参见GB/T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2．</w:t>
      </w:r>
      <w:r>
        <w:rPr>
          <w:rFonts w:ascii="Times New Roman" w:hAnsi="Times New Roman" w:eastAsia="仿宋_GB2312" w:cs="Times New Roman"/>
          <w:b/>
          <w:sz w:val="28"/>
          <w:szCs w:val="28"/>
        </w:rPr>
        <w:t>分类标准</w:t>
      </w:r>
      <w:r>
        <w:rPr>
          <w:rFonts w:hint="eastAsia" w:ascii="Times New Roman" w:hAnsi="Times New Roman" w:eastAsia="仿宋_GB2312" w:cs="Times New Roman"/>
          <w:b/>
          <w:sz w:val="28"/>
          <w:szCs w:val="28"/>
        </w:rPr>
        <w:t>（T</w:t>
      </w:r>
      <w:r>
        <w:rPr>
          <w:rFonts w:ascii="Times New Roman" w:hAnsi="Times New Roman" w:eastAsia="仿宋_GB2312" w:cs="Times New Roman"/>
          <w:b/>
          <w:sz w:val="28"/>
          <w:szCs w:val="28"/>
        </w:rPr>
        <w:t>axonomy</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XML模式文件和XBRL链接库的组合。参见GB/T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3．</w:t>
      </w:r>
      <w:r>
        <w:rPr>
          <w:rFonts w:ascii="Times New Roman" w:hAnsi="Times New Roman" w:eastAsia="仿宋_GB2312" w:cs="Times New Roman"/>
          <w:b/>
          <w:sz w:val="28"/>
          <w:szCs w:val="28"/>
        </w:rPr>
        <w:t>分类标准模式</w:t>
      </w:r>
      <w:r>
        <w:rPr>
          <w:rFonts w:hint="eastAsia" w:ascii="Times New Roman" w:hAnsi="Times New Roman" w:eastAsia="仿宋_GB2312" w:cs="Times New Roman"/>
          <w:b/>
          <w:sz w:val="28"/>
          <w:szCs w:val="28"/>
        </w:rPr>
        <w:t>（T</w:t>
      </w:r>
      <w:r>
        <w:rPr>
          <w:rFonts w:ascii="Times New Roman" w:hAnsi="Times New Roman" w:eastAsia="仿宋_GB2312" w:cs="Times New Roman"/>
          <w:b/>
          <w:sz w:val="28"/>
          <w:szCs w:val="28"/>
        </w:rPr>
        <w:t xml:space="preserve">axonomy </w:t>
      </w:r>
      <w:r>
        <w:rPr>
          <w:rFonts w:hint="eastAsia" w:ascii="Times New Roman" w:hAnsi="Times New Roman" w:eastAsia="仿宋_GB2312" w:cs="Times New Roman"/>
          <w:b/>
          <w:sz w:val="28"/>
          <w:szCs w:val="28"/>
        </w:rPr>
        <w:t>S</w:t>
      </w:r>
      <w:r>
        <w:rPr>
          <w:rFonts w:ascii="Times New Roman" w:hAnsi="Times New Roman" w:eastAsia="仿宋_GB2312" w:cs="Times New Roman"/>
          <w:b/>
          <w:sz w:val="28"/>
          <w:szCs w:val="28"/>
        </w:rPr>
        <w:t>chema</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定义</w:t>
      </w:r>
      <w:r>
        <w:rPr>
          <w:rFonts w:ascii="Times New Roman" w:hAnsi="Times New Roman" w:eastAsia="仿宋_GB2312" w:cs="Times New Roman"/>
          <w:sz w:val="28"/>
          <w:szCs w:val="28"/>
        </w:rPr>
        <w:t>XBRL概念语法的XML模式文件。参见GB/T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4</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可发现分类标准集</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Discoverable Taxonomy Set</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DTS</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通过引用形成的一组分类标准模式和链接库的集合。参见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5</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扩展</w:t>
      </w:r>
      <w:r>
        <w:rPr>
          <w:rFonts w:hint="eastAsia" w:ascii="Times New Roman" w:hAnsi="Times New Roman" w:eastAsia="仿宋_GB2312" w:cs="Times New Roman"/>
          <w:b/>
          <w:sz w:val="28"/>
          <w:szCs w:val="28"/>
        </w:rPr>
        <w:t>链接</w:t>
      </w:r>
      <w:r>
        <w:rPr>
          <w:rFonts w:ascii="Times New Roman" w:hAnsi="Times New Roman" w:eastAsia="仿宋_GB2312" w:cs="Times New Roman"/>
          <w:b/>
          <w:sz w:val="28"/>
          <w:szCs w:val="28"/>
        </w:rPr>
        <w:t>角色</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Extended Link Role</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ELR</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扩展链接角色是一组可被视为一个整体进行处理的银行电子对账单信息关系的标识符。</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6</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相对路径</w:t>
      </w:r>
      <w:r>
        <w:rPr>
          <w:rFonts w:hint="eastAsia" w:ascii="Times New Roman" w:hAnsi="Times New Roman" w:eastAsia="仿宋_GB2312" w:cs="Times New Roman"/>
          <w:b/>
          <w:sz w:val="28"/>
          <w:szCs w:val="28"/>
        </w:rPr>
        <w:t>（R</w:t>
      </w:r>
      <w:r>
        <w:rPr>
          <w:rFonts w:ascii="Times New Roman" w:hAnsi="Times New Roman" w:eastAsia="仿宋_GB2312" w:cs="Times New Roman"/>
          <w:b/>
          <w:sz w:val="28"/>
          <w:szCs w:val="28"/>
        </w:rPr>
        <w:t xml:space="preserve">elative </w:t>
      </w:r>
      <w:r>
        <w:rPr>
          <w:rFonts w:hint="eastAsia" w:ascii="Times New Roman" w:hAnsi="Times New Roman" w:eastAsia="仿宋_GB2312" w:cs="Times New Roman"/>
          <w:b/>
          <w:sz w:val="28"/>
          <w:szCs w:val="28"/>
        </w:rPr>
        <w:t>P</w:t>
      </w:r>
      <w:r>
        <w:rPr>
          <w:rFonts w:ascii="Times New Roman" w:hAnsi="Times New Roman" w:eastAsia="仿宋_GB2312" w:cs="Times New Roman"/>
          <w:b/>
          <w:sz w:val="28"/>
          <w:szCs w:val="28"/>
        </w:rPr>
        <w:t>aths</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cs="Times New Roman"/>
          <w:sz w:val="28"/>
          <w:szCs w:val="28"/>
        </w:rPr>
        <w:t>相对路径以《银行电子对账单标准》</w:t>
      </w:r>
      <w:r>
        <w:rPr>
          <w:rFonts w:hint="eastAsia" w:ascii="Times New Roman" w:hAnsi="Times New Roman" w:eastAsia="仿宋_GB2312"/>
          <w:sz w:val="28"/>
          <w:szCs w:val="28"/>
        </w:rPr>
        <w:t>入口点模式文件所在目录为相对路径根目录。</w:t>
      </w:r>
    </w:p>
    <w:p>
      <w:pPr>
        <w:spacing w:after="0" w:line="560" w:lineRule="exact"/>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7．</w:t>
      </w:r>
      <w:r>
        <w:rPr>
          <w:rFonts w:ascii="Times New Roman" w:hAnsi="Times New Roman" w:eastAsia="仿宋_GB2312" w:cs="Times New Roman"/>
          <w:b/>
          <w:sz w:val="28"/>
          <w:szCs w:val="28"/>
        </w:rPr>
        <w:t>命名空间</w:t>
      </w:r>
      <w:r>
        <w:rPr>
          <w:rFonts w:hint="eastAsia" w:ascii="Times New Roman" w:hAnsi="Times New Roman" w:eastAsia="仿宋_GB2312" w:cs="Times New Roman"/>
          <w:b/>
          <w:sz w:val="28"/>
          <w:szCs w:val="28"/>
        </w:rPr>
        <w:t>（N</w:t>
      </w:r>
      <w:r>
        <w:rPr>
          <w:rFonts w:ascii="Times New Roman" w:hAnsi="Times New Roman" w:eastAsia="仿宋_GB2312" w:cs="Times New Roman"/>
          <w:b/>
          <w:sz w:val="28"/>
          <w:szCs w:val="28"/>
        </w:rPr>
        <w:t>amespace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命名空间限定了分类标准元素的定义区间。</w:t>
      </w:r>
    </w:p>
    <w:p>
      <w:pPr>
        <w:spacing w:after="0" w:line="560" w:lineRule="exact"/>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8．</w:t>
      </w:r>
      <w:r>
        <w:rPr>
          <w:rFonts w:ascii="Times New Roman" w:hAnsi="Times New Roman" w:eastAsia="仿宋_GB2312" w:cs="Times New Roman"/>
          <w:b/>
          <w:sz w:val="28"/>
          <w:szCs w:val="28"/>
        </w:rPr>
        <w:t>事实</w:t>
      </w:r>
      <w:r>
        <w:rPr>
          <w:rFonts w:hint="eastAsia" w:ascii="Times New Roman" w:hAnsi="Times New Roman" w:eastAsia="仿宋_GB2312" w:cs="Times New Roman"/>
          <w:b/>
          <w:sz w:val="28"/>
          <w:szCs w:val="28"/>
        </w:rPr>
        <w:t>值（F</w:t>
      </w:r>
      <w:r>
        <w:rPr>
          <w:rFonts w:ascii="Times New Roman" w:hAnsi="Times New Roman" w:eastAsia="仿宋_GB2312" w:cs="Times New Roman"/>
          <w:b/>
          <w:sz w:val="28"/>
          <w:szCs w:val="28"/>
        </w:rPr>
        <w:t>act</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分类标准所描述的银行电子对账单的具体内容</w:t>
      </w:r>
      <w:r>
        <w:rPr>
          <w:rFonts w:ascii="Times New Roman" w:hAnsi="Times New Roman" w:eastAsia="仿宋_GB2312" w:cs="Times New Roman"/>
          <w:sz w:val="28"/>
          <w:szCs w:val="28"/>
        </w:rPr>
        <w:t>。</w:t>
      </w:r>
      <w:r>
        <w:rPr>
          <w:rFonts w:hint="eastAsia" w:ascii="Times New Roman" w:hAnsi="Times New Roman" w:eastAsia="仿宋_GB2312" w:cs="Times New Roman"/>
          <w:sz w:val="28"/>
          <w:szCs w:val="28"/>
        </w:rPr>
        <w:t>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9</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元素</w:t>
      </w:r>
      <w:r>
        <w:rPr>
          <w:rFonts w:hint="eastAsia" w:ascii="Times New Roman" w:hAnsi="Times New Roman" w:eastAsia="仿宋_GB2312" w:cs="Times New Roman"/>
          <w:b/>
          <w:sz w:val="28"/>
          <w:szCs w:val="28"/>
        </w:rPr>
        <w:t>（E</w:t>
      </w:r>
      <w:r>
        <w:rPr>
          <w:rFonts w:ascii="Times New Roman" w:hAnsi="Times New Roman" w:eastAsia="仿宋_GB2312" w:cs="Times New Roman"/>
          <w:b/>
          <w:sz w:val="28"/>
          <w:szCs w:val="28"/>
        </w:rPr>
        <w:t>lement</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XML 模式文件中定义的XML元素。参见GB/T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10</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抽象元素</w:t>
      </w:r>
      <w:r>
        <w:rPr>
          <w:rFonts w:hint="eastAsia" w:ascii="Times New Roman" w:hAnsi="Times New Roman" w:eastAsia="仿宋_GB2312" w:cs="Times New Roman"/>
          <w:b/>
          <w:sz w:val="28"/>
          <w:szCs w:val="28"/>
        </w:rPr>
        <w:t>（A</w:t>
      </w:r>
      <w:r>
        <w:rPr>
          <w:rFonts w:ascii="Times New Roman" w:hAnsi="Times New Roman" w:eastAsia="仿宋_GB2312" w:cs="Times New Roman"/>
          <w:b/>
          <w:sz w:val="28"/>
          <w:szCs w:val="28"/>
        </w:rPr>
        <w:t xml:space="preserve">bstract </w:t>
      </w:r>
      <w:r>
        <w:rPr>
          <w:rFonts w:hint="eastAsia" w:ascii="Times New Roman" w:hAnsi="Times New Roman" w:eastAsia="仿宋_GB2312" w:cs="Times New Roman"/>
          <w:b/>
          <w:sz w:val="28"/>
          <w:szCs w:val="28"/>
        </w:rPr>
        <w:t>E</w:t>
      </w:r>
      <w:r>
        <w:rPr>
          <w:rFonts w:ascii="Times New Roman" w:hAnsi="Times New Roman" w:eastAsia="仿宋_GB2312" w:cs="Times New Roman"/>
          <w:b/>
          <w:sz w:val="28"/>
          <w:szCs w:val="28"/>
        </w:rPr>
        <w:t>lement</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对应银行电子对账单概念在逻辑上没有具体值、不能在</w:t>
      </w:r>
      <w:r>
        <w:rPr>
          <w:rFonts w:ascii="Times New Roman" w:hAnsi="Times New Roman" w:eastAsia="仿宋_GB2312" w:cs="Times New Roman"/>
          <w:sz w:val="28"/>
          <w:szCs w:val="28"/>
        </w:rPr>
        <w:t>XBRL实例</w:t>
      </w:r>
      <w:r>
        <w:rPr>
          <w:rFonts w:hint="eastAsia" w:ascii="Times New Roman" w:hAnsi="Times New Roman" w:eastAsia="仿宋_GB2312" w:cs="Times New Roman"/>
          <w:sz w:val="28"/>
          <w:szCs w:val="28"/>
        </w:rPr>
        <w:t>文档</w:t>
      </w:r>
      <w:r>
        <w:rPr>
          <w:rFonts w:ascii="Times New Roman" w:hAnsi="Times New Roman" w:eastAsia="仿宋_GB2312" w:cs="Times New Roman"/>
          <w:sz w:val="28"/>
          <w:szCs w:val="28"/>
        </w:rPr>
        <w:t>中出现的元素，其abstract属性值为true。</w:t>
      </w:r>
      <w:r>
        <w:rPr>
          <w:rFonts w:hint="eastAsia" w:ascii="Times New Roman" w:hAnsi="Times New Roman" w:eastAsia="仿宋_GB2312" w:cs="Times New Roman"/>
          <w:sz w:val="28"/>
          <w:szCs w:val="28"/>
        </w:rPr>
        <w:t>列报链接库可利用抽象元素对概念进行分组展示。参见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11</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链接库</w:t>
      </w:r>
      <w:r>
        <w:rPr>
          <w:rFonts w:hint="eastAsia" w:ascii="Times New Roman" w:hAnsi="Times New Roman" w:eastAsia="仿宋_GB2312" w:cs="Times New Roman"/>
          <w:b/>
          <w:sz w:val="28"/>
          <w:szCs w:val="28"/>
        </w:rPr>
        <w:t>（L</w:t>
      </w:r>
      <w:r>
        <w:rPr>
          <w:rFonts w:ascii="Times New Roman" w:hAnsi="Times New Roman" w:eastAsia="仿宋_GB2312" w:cs="Times New Roman"/>
          <w:b/>
          <w:sz w:val="28"/>
          <w:szCs w:val="28"/>
        </w:rPr>
        <w:t>inkbase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若干个用于描述分类标准中概念的语义的</w:t>
      </w:r>
      <w:r>
        <w:rPr>
          <w:rFonts w:ascii="Times New Roman" w:hAnsi="Times New Roman" w:eastAsia="仿宋_GB2312" w:cs="Times New Roman"/>
          <w:sz w:val="28"/>
          <w:szCs w:val="28"/>
        </w:rPr>
        <w:t>XLink扩展链接的集合。参见GB/T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12．</w:t>
      </w:r>
      <w:r>
        <w:rPr>
          <w:rFonts w:ascii="Times New Roman" w:hAnsi="Times New Roman" w:eastAsia="仿宋_GB2312" w:cs="Times New Roman"/>
          <w:b/>
          <w:sz w:val="28"/>
          <w:szCs w:val="28"/>
        </w:rPr>
        <w:t>列报链接库</w:t>
      </w:r>
      <w:r>
        <w:rPr>
          <w:rFonts w:hint="eastAsia" w:ascii="Times New Roman" w:hAnsi="Times New Roman" w:eastAsia="仿宋_GB2312" w:cs="Times New Roman"/>
          <w:b/>
          <w:sz w:val="28"/>
          <w:szCs w:val="28"/>
        </w:rPr>
        <w:t>（P</w:t>
      </w:r>
      <w:r>
        <w:rPr>
          <w:rFonts w:ascii="Times New Roman" w:hAnsi="Times New Roman" w:eastAsia="仿宋_GB2312" w:cs="Times New Roman"/>
          <w:b/>
          <w:sz w:val="28"/>
          <w:szCs w:val="28"/>
        </w:rPr>
        <w:t xml:space="preserve">resentation </w:t>
      </w:r>
      <w:r>
        <w:rPr>
          <w:rFonts w:hint="eastAsia" w:ascii="Times New Roman" w:hAnsi="Times New Roman" w:eastAsia="仿宋_GB2312" w:cs="Times New Roman"/>
          <w:b/>
          <w:sz w:val="28"/>
          <w:szCs w:val="28"/>
        </w:rPr>
        <w:t>L</w:t>
      </w:r>
      <w:r>
        <w:rPr>
          <w:rFonts w:ascii="Times New Roman" w:hAnsi="Times New Roman" w:eastAsia="仿宋_GB2312" w:cs="Times New Roman"/>
          <w:b/>
          <w:sz w:val="28"/>
          <w:szCs w:val="28"/>
        </w:rPr>
        <w:t>inkbase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列报链接库用于组织分类标准元素之间的层次关系并为之排序。参见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w:t>
      </w:r>
      <w:r>
        <w:rPr>
          <w:rFonts w:hint="eastAsia" w:ascii="Times New Roman" w:hAnsi="Times New Roman" w:eastAsia="仿宋_GB2312" w:cs="Times New Roman"/>
          <w:b/>
          <w:sz w:val="28"/>
          <w:szCs w:val="28"/>
        </w:rPr>
        <w:t>3．</w:t>
      </w:r>
      <w:r>
        <w:rPr>
          <w:rFonts w:ascii="Times New Roman" w:hAnsi="Times New Roman" w:eastAsia="仿宋_GB2312" w:cs="Times New Roman"/>
          <w:b/>
          <w:sz w:val="28"/>
          <w:szCs w:val="28"/>
        </w:rPr>
        <w:t>定义链接库</w:t>
      </w:r>
      <w:r>
        <w:rPr>
          <w:rFonts w:hint="eastAsia" w:ascii="Times New Roman" w:hAnsi="Times New Roman" w:eastAsia="仿宋_GB2312" w:cs="Times New Roman"/>
          <w:b/>
          <w:sz w:val="28"/>
          <w:szCs w:val="28"/>
        </w:rPr>
        <w:t>（D</w:t>
      </w:r>
      <w:r>
        <w:rPr>
          <w:rFonts w:ascii="Times New Roman" w:hAnsi="Times New Roman" w:eastAsia="仿宋_GB2312" w:cs="Times New Roman"/>
          <w:b/>
          <w:sz w:val="28"/>
          <w:szCs w:val="28"/>
        </w:rPr>
        <w:t xml:space="preserve">efinition </w:t>
      </w:r>
      <w:r>
        <w:rPr>
          <w:rFonts w:hint="eastAsia" w:ascii="Times New Roman" w:hAnsi="Times New Roman" w:eastAsia="仿宋_GB2312" w:cs="Times New Roman"/>
          <w:b/>
          <w:sz w:val="28"/>
          <w:szCs w:val="28"/>
        </w:rPr>
        <w:t>L</w:t>
      </w:r>
      <w:r>
        <w:rPr>
          <w:rFonts w:ascii="Times New Roman" w:hAnsi="Times New Roman" w:eastAsia="仿宋_GB2312" w:cs="Times New Roman"/>
          <w:b/>
          <w:sz w:val="28"/>
          <w:szCs w:val="28"/>
        </w:rPr>
        <w:t>inkbase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定义链接库包含一个概念与其他概念相关联的定义扩展链接，主要的作用是描述元素之间的维度关系。</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14</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标签链接库</w:t>
      </w:r>
      <w:r>
        <w:rPr>
          <w:rFonts w:hint="eastAsia" w:ascii="Times New Roman" w:hAnsi="Times New Roman" w:eastAsia="仿宋_GB2312" w:cs="Times New Roman"/>
          <w:b/>
          <w:sz w:val="28"/>
          <w:szCs w:val="28"/>
        </w:rPr>
        <w:t>（L</w:t>
      </w:r>
      <w:r>
        <w:rPr>
          <w:rFonts w:ascii="Times New Roman" w:hAnsi="Times New Roman" w:eastAsia="仿宋_GB2312" w:cs="Times New Roman"/>
          <w:b/>
          <w:sz w:val="28"/>
          <w:szCs w:val="28"/>
        </w:rPr>
        <w:t xml:space="preserve">abel </w:t>
      </w:r>
      <w:r>
        <w:rPr>
          <w:rFonts w:hint="eastAsia" w:ascii="Times New Roman" w:hAnsi="Times New Roman" w:eastAsia="仿宋_GB2312" w:cs="Times New Roman"/>
          <w:b/>
          <w:sz w:val="28"/>
          <w:szCs w:val="28"/>
        </w:rPr>
        <w:t>L</w:t>
      </w:r>
      <w:r>
        <w:rPr>
          <w:rFonts w:ascii="Times New Roman" w:hAnsi="Times New Roman" w:eastAsia="仿宋_GB2312" w:cs="Times New Roman"/>
          <w:b/>
          <w:sz w:val="28"/>
          <w:szCs w:val="28"/>
        </w:rPr>
        <w:t>inkbase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15</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XBRL实例</w:t>
      </w:r>
      <w:r>
        <w:rPr>
          <w:rFonts w:hint="eastAsia" w:ascii="Times New Roman" w:hAnsi="Times New Roman" w:eastAsia="仿宋_GB2312" w:cs="Times New Roman"/>
          <w:b/>
          <w:sz w:val="28"/>
          <w:szCs w:val="28"/>
        </w:rPr>
        <w:t>文档（</w:t>
      </w:r>
      <w:r>
        <w:rPr>
          <w:rFonts w:ascii="Times New Roman" w:hAnsi="Times New Roman" w:eastAsia="仿宋_GB2312" w:cs="Times New Roman"/>
          <w:b/>
          <w:sz w:val="28"/>
          <w:szCs w:val="28"/>
        </w:rPr>
        <w:t xml:space="preserve">XBRL </w:t>
      </w:r>
      <w:r>
        <w:rPr>
          <w:rFonts w:hint="eastAsia" w:ascii="Times New Roman" w:hAnsi="Times New Roman" w:eastAsia="仿宋_GB2312" w:cs="Times New Roman"/>
          <w:b/>
          <w:sz w:val="28"/>
          <w:szCs w:val="28"/>
        </w:rPr>
        <w:t>I</w:t>
      </w:r>
      <w:r>
        <w:rPr>
          <w:rFonts w:ascii="Times New Roman" w:hAnsi="Times New Roman" w:eastAsia="仿宋_GB2312" w:cs="Times New Roman"/>
          <w:b/>
          <w:sz w:val="28"/>
          <w:szCs w:val="28"/>
        </w:rPr>
        <w:t>nstance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以</w:t>
      </w:r>
      <w:r>
        <w:rPr>
          <w:rFonts w:ascii="Times New Roman" w:hAnsi="Times New Roman" w:eastAsia="仿宋_GB2312" w:cs="Times New Roman"/>
          <w:sz w:val="28"/>
          <w:szCs w:val="28"/>
        </w:rPr>
        <w:t>xbrl为根元素的XML片段。XBRL实例</w:t>
      </w:r>
      <w:r>
        <w:rPr>
          <w:rFonts w:hint="eastAsia" w:ascii="Times New Roman" w:hAnsi="Times New Roman" w:eastAsia="仿宋_GB2312" w:cs="Times New Roman"/>
          <w:sz w:val="28"/>
          <w:szCs w:val="28"/>
        </w:rPr>
        <w:t>文档中</w:t>
      </w:r>
      <w:r>
        <w:rPr>
          <w:rFonts w:ascii="Times New Roman" w:hAnsi="Times New Roman" w:eastAsia="仿宋_GB2312" w:cs="Times New Roman"/>
          <w:sz w:val="28"/>
          <w:szCs w:val="28"/>
        </w:rPr>
        <w:t>包含</w:t>
      </w:r>
      <w:r>
        <w:rPr>
          <w:rFonts w:hint="eastAsia" w:ascii="Times New Roman" w:hAnsi="Times New Roman" w:eastAsia="仿宋_GB2312" w:cs="Times New Roman"/>
          <w:sz w:val="28"/>
          <w:szCs w:val="28"/>
        </w:rPr>
        <w:t>银行电子对账单的</w:t>
      </w:r>
      <w:r>
        <w:rPr>
          <w:rFonts w:ascii="Times New Roman" w:hAnsi="Times New Roman" w:eastAsia="仿宋_GB2312" w:cs="Times New Roman"/>
          <w:sz w:val="28"/>
          <w:szCs w:val="28"/>
        </w:rPr>
        <w:t>事实</w:t>
      </w:r>
      <w:r>
        <w:rPr>
          <w:rFonts w:hint="eastAsia" w:ascii="Times New Roman" w:hAnsi="Times New Roman" w:eastAsia="仿宋_GB2312" w:cs="Times New Roman"/>
          <w:sz w:val="28"/>
          <w:szCs w:val="28"/>
        </w:rPr>
        <w:t>值。</w:t>
      </w:r>
      <w:r>
        <w:rPr>
          <w:rFonts w:ascii="Times New Roman" w:hAnsi="Times New Roman" w:eastAsia="仿宋_GB2312" w:cs="Times New Roman"/>
          <w:sz w:val="28"/>
          <w:szCs w:val="28"/>
        </w:rPr>
        <w:t>其中每个事实</w:t>
      </w:r>
      <w:r>
        <w:rPr>
          <w:rFonts w:hint="eastAsia" w:ascii="Times New Roman" w:hAnsi="Times New Roman" w:eastAsia="仿宋_GB2312" w:cs="Times New Roman"/>
          <w:sz w:val="28"/>
          <w:szCs w:val="28"/>
        </w:rPr>
        <w:t>值</w:t>
      </w:r>
      <w:r>
        <w:rPr>
          <w:rFonts w:ascii="Times New Roman" w:hAnsi="Times New Roman" w:eastAsia="仿宋_GB2312" w:cs="Times New Roman"/>
          <w:sz w:val="28"/>
          <w:szCs w:val="28"/>
        </w:rPr>
        <w:t>都与</w:t>
      </w:r>
      <w:r>
        <w:rPr>
          <w:rFonts w:hint="eastAsia" w:ascii="Times New Roman" w:hAnsi="Times New Roman" w:eastAsia="仿宋_GB2312" w:cs="Times New Roman"/>
          <w:sz w:val="28"/>
          <w:szCs w:val="28"/>
        </w:rPr>
        <w:t>可发现分类标准集（DTS）</w:t>
      </w:r>
      <w:r>
        <w:rPr>
          <w:rFonts w:ascii="Times New Roman" w:hAnsi="Times New Roman" w:eastAsia="仿宋_GB2312" w:cs="Times New Roman"/>
          <w:sz w:val="28"/>
          <w:szCs w:val="28"/>
        </w:rPr>
        <w:t>中已定义的概念相对应，也包含上下文和单位等额外信息来解释实例中的事实。XBRL实例</w:t>
      </w:r>
      <w:r>
        <w:rPr>
          <w:rFonts w:hint="eastAsia" w:ascii="Times New Roman" w:hAnsi="Times New Roman" w:eastAsia="仿宋_GB2312" w:cs="Times New Roman"/>
          <w:sz w:val="28"/>
          <w:szCs w:val="28"/>
        </w:rPr>
        <w:t>文档</w:t>
      </w:r>
      <w:r>
        <w:rPr>
          <w:rFonts w:ascii="Times New Roman" w:hAnsi="Times New Roman" w:eastAsia="仿宋_GB2312" w:cs="Times New Roman"/>
          <w:sz w:val="28"/>
          <w:szCs w:val="28"/>
        </w:rPr>
        <w:t>的根元素是“xbrl”元素。参见GB/T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16</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上下文</w:t>
      </w:r>
      <w:r>
        <w:rPr>
          <w:rFonts w:hint="eastAsia" w:ascii="Times New Roman" w:hAnsi="Times New Roman" w:eastAsia="仿宋_GB2312" w:cs="Times New Roman"/>
          <w:b/>
          <w:sz w:val="28"/>
          <w:szCs w:val="28"/>
        </w:rPr>
        <w:t>（C</w:t>
      </w:r>
      <w:r>
        <w:rPr>
          <w:rFonts w:ascii="Times New Roman" w:hAnsi="Times New Roman" w:eastAsia="仿宋_GB2312" w:cs="Times New Roman"/>
          <w:b/>
          <w:sz w:val="28"/>
          <w:szCs w:val="28"/>
        </w:rPr>
        <w:t>ontext</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XBRL实例</w:t>
      </w:r>
      <w:r>
        <w:rPr>
          <w:rFonts w:hint="eastAsia" w:ascii="Times New Roman" w:hAnsi="Times New Roman" w:eastAsia="仿宋_GB2312" w:cs="Times New Roman"/>
          <w:sz w:val="28"/>
          <w:szCs w:val="28"/>
        </w:rPr>
        <w:t>文档</w:t>
      </w:r>
      <w:r>
        <w:rPr>
          <w:rFonts w:ascii="Times New Roman" w:hAnsi="Times New Roman" w:eastAsia="仿宋_GB2312" w:cs="Times New Roman"/>
          <w:sz w:val="28"/>
          <w:szCs w:val="28"/>
        </w:rPr>
        <w:t>中根元素的子元素，用来说明实体、时期和场景。</w:t>
      </w:r>
      <w:r>
        <w:rPr>
          <w:rFonts w:hint="eastAsia" w:ascii="Times New Roman" w:hAnsi="Times New Roman" w:eastAsia="仿宋_GB2312" w:cs="Times New Roman"/>
          <w:sz w:val="28"/>
          <w:szCs w:val="28"/>
        </w:rPr>
        <w:t>上下文有助于准确地理解数据项的值。参见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17</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数据项</w:t>
      </w:r>
      <w:r>
        <w:rPr>
          <w:rFonts w:hint="eastAsia" w:ascii="Times New Roman" w:hAnsi="Times New Roman" w:eastAsia="仿宋_GB2312" w:cs="Times New Roman"/>
          <w:b/>
          <w:sz w:val="28"/>
          <w:szCs w:val="28"/>
        </w:rPr>
        <w:t>（I</w:t>
      </w:r>
      <w:r>
        <w:rPr>
          <w:rFonts w:ascii="Times New Roman" w:hAnsi="Times New Roman" w:eastAsia="仿宋_GB2312" w:cs="Times New Roman"/>
          <w:b/>
          <w:sz w:val="28"/>
          <w:szCs w:val="28"/>
        </w:rPr>
        <w:t>tem</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XBRL数据项替换组中的元素，包含简单事实的值、帮助理解该事实所需的上下文以及数值型数据项的单位。</w:t>
      </w:r>
      <w:r>
        <w:rPr>
          <w:rFonts w:hint="eastAsia" w:ascii="Times New Roman" w:hAnsi="Times New Roman" w:eastAsia="仿宋_GB2312" w:cs="Times New Roman"/>
          <w:sz w:val="28"/>
          <w:szCs w:val="28"/>
        </w:rPr>
        <w:t>数据项包括数值型数据项和非数值型数据项两类。对于数值型数据项，需要指出精度及度量单位。参见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18</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类型化维度</w:t>
      </w:r>
      <w:r>
        <w:rPr>
          <w:rFonts w:hint="eastAsia" w:ascii="Times New Roman" w:hAnsi="Times New Roman" w:eastAsia="仿宋_GB2312" w:cs="Times New Roman"/>
          <w:b/>
          <w:sz w:val="28"/>
          <w:szCs w:val="28"/>
        </w:rPr>
        <w:t>（T</w:t>
      </w:r>
      <w:r>
        <w:rPr>
          <w:rFonts w:ascii="Times New Roman" w:hAnsi="Times New Roman" w:eastAsia="仿宋_GB2312" w:cs="Times New Roman"/>
          <w:b/>
          <w:sz w:val="28"/>
          <w:szCs w:val="28"/>
        </w:rPr>
        <w:t xml:space="preserve">yped </w:t>
      </w:r>
      <w:r>
        <w:rPr>
          <w:rFonts w:hint="eastAsia" w:ascii="Times New Roman" w:hAnsi="Times New Roman" w:eastAsia="仿宋_GB2312" w:cs="Times New Roman"/>
          <w:b/>
          <w:sz w:val="28"/>
          <w:szCs w:val="28"/>
        </w:rPr>
        <w:t>D</w:t>
      </w:r>
      <w:r>
        <w:rPr>
          <w:rFonts w:ascii="Times New Roman" w:hAnsi="Times New Roman" w:eastAsia="仿宋_GB2312" w:cs="Times New Roman"/>
          <w:b/>
          <w:sz w:val="28"/>
          <w:szCs w:val="28"/>
        </w:rPr>
        <w:t>imension</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类型化维度是域成员不能逐个枚举的维度。参见</w:t>
      </w:r>
      <w:r>
        <w:rPr>
          <w:rFonts w:ascii="Times New Roman" w:hAnsi="Times New Roman" w:eastAsia="仿宋_GB2312" w:cs="Times New Roman"/>
          <w:sz w:val="28"/>
          <w:szCs w:val="28"/>
        </w:rPr>
        <w:t>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19</w:t>
      </w:r>
      <w:r>
        <w:rPr>
          <w:rFonts w:hint="eastAsia" w:ascii="Times New Roman" w:hAnsi="Times New Roman" w:eastAsia="仿宋_GB2312" w:cs="Times New Roman"/>
          <w:b/>
          <w:sz w:val="28"/>
          <w:szCs w:val="28"/>
        </w:rPr>
        <w:t>．</w:t>
      </w:r>
      <w:r>
        <w:rPr>
          <w:rFonts w:ascii="Times New Roman" w:hAnsi="Times New Roman" w:eastAsia="仿宋_GB2312" w:cs="Times New Roman"/>
          <w:b/>
          <w:sz w:val="28"/>
          <w:szCs w:val="28"/>
        </w:rPr>
        <w:t>超立方体</w:t>
      </w:r>
      <w:r>
        <w:rPr>
          <w:rFonts w:hint="eastAsia" w:ascii="Times New Roman" w:hAnsi="Times New Roman" w:eastAsia="仿宋_GB2312" w:cs="Times New Roman"/>
          <w:b/>
          <w:sz w:val="28"/>
          <w:szCs w:val="28"/>
        </w:rPr>
        <w:t>（H</w:t>
      </w:r>
      <w:r>
        <w:rPr>
          <w:rFonts w:ascii="Times New Roman" w:hAnsi="Times New Roman" w:eastAsia="仿宋_GB2312" w:cs="Times New Roman"/>
          <w:b/>
          <w:sz w:val="28"/>
          <w:szCs w:val="28"/>
        </w:rPr>
        <w:t>ypercube</w:t>
      </w:r>
      <w:r>
        <w:rPr>
          <w:rFonts w:hint="eastAsia" w:ascii="Times New Roman" w:hAnsi="Times New Roman" w:eastAsia="仿宋_GB2312" w:cs="Times New Roman"/>
          <w:b/>
          <w:sz w:val="28"/>
          <w:szCs w:val="28"/>
        </w:rPr>
        <w:t>）</w:t>
      </w:r>
    </w:p>
    <w:p>
      <w:pPr>
        <w:spacing w:after="0"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超立方体是一个维度的集合，是参与到</w:t>
      </w:r>
      <w:r>
        <w:rPr>
          <w:rFonts w:ascii="Times New Roman" w:hAnsi="Times New Roman" w:eastAsia="仿宋_GB2312" w:cs="Times New Roman"/>
          <w:sz w:val="28"/>
          <w:szCs w:val="28"/>
        </w:rPr>
        <w:t>has-hypercube关系和hypercube-dimension关系中的hypercubeItem替换组中的抽象元素。参见GB/T</w:t>
      </w:r>
      <w:r>
        <w:rPr>
          <w:rFonts w:hint="eastAsia" w:ascii="Times New Roman" w:hAnsi="Times New Roman" w:eastAsia="仿宋_GB2312" w:cs="Times New Roman"/>
          <w:sz w:val="28"/>
          <w:szCs w:val="28"/>
        </w:rPr>
        <w:t>25500-2010</w:t>
      </w:r>
      <w:r>
        <w:rPr>
          <w:rFonts w:ascii="Times New Roman" w:hAnsi="Times New Roman" w:eastAsia="仿宋_GB2312" w:cs="Times New Roman"/>
          <w:sz w:val="28"/>
          <w:szCs w:val="28"/>
        </w:rPr>
        <w:t>《可扩展商业报告语言（XBRL）技术规范》</w:t>
      </w:r>
      <w:r>
        <w:rPr>
          <w:rFonts w:hint="eastAsia" w:ascii="Times New Roman" w:hAnsi="Times New Roman" w:eastAsia="仿宋_GB2312" w:cs="Times New Roman"/>
          <w:sz w:val="28"/>
          <w:szCs w:val="28"/>
        </w:rPr>
        <w:t>系列国家标准</w:t>
      </w:r>
      <w:r>
        <w:rPr>
          <w:rFonts w:ascii="Times New Roman" w:hAnsi="Times New Roman" w:eastAsia="仿宋_GB2312" w:cs="Times New Roman"/>
          <w:sz w:val="28"/>
          <w:szCs w:val="28"/>
        </w:rPr>
        <w:t>。</w:t>
      </w:r>
    </w:p>
    <w:p>
      <w:pPr>
        <w:spacing w:after="0" w:line="560" w:lineRule="exact"/>
        <w:ind w:firstLine="560" w:firstLineChars="200"/>
        <w:rPr>
          <w:rFonts w:ascii="Times New Roman" w:hAnsi="Times New Roman" w:eastAsia="仿宋_GB2312" w:cs="Times New Roman"/>
          <w:sz w:val="28"/>
          <w:szCs w:val="28"/>
        </w:rPr>
      </w:pPr>
    </w:p>
    <w:p>
      <w:pPr>
        <w:spacing w:after="0" w:line="360" w:lineRule="auto"/>
      </w:pPr>
    </w:p>
    <w:sectPr>
      <w:footerReference r:id="rId5" w:type="default"/>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docPartObj>
        <w:docPartGallery w:val="autotext"/>
      </w:docPartObj>
    </w:sdtPr>
    <w:sdtEndPr>
      <w:rPr>
        <w:rFonts w:ascii="Times New Roman" w:hAnsi="Times New Roman" w:cs="Times New Roman"/>
      </w:rPr>
    </w:sdtEndPr>
    <w:sdtContent>
      <w:p>
        <w:pPr>
          <w:pStyle w:val="3"/>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b/>
        <w:bCs/>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25D93650"/>
    <w:multiLevelType w:val="singleLevel"/>
    <w:tmpl w:val="25D93650"/>
    <w:lvl w:ilvl="0" w:tentative="0">
      <w:start w:val="1"/>
      <w:numFmt w:val="chineseCounting"/>
      <w:suff w:val="nothing"/>
      <w:lvlText w:val="（%1）"/>
      <w:lvlJc w:val="left"/>
      <w:rPr>
        <w:rFonts w:hint="eastAsia"/>
        <w:b/>
        <w:bCs/>
      </w:rPr>
    </w:lvl>
  </w:abstractNum>
  <w:abstractNum w:abstractNumId="4">
    <w:nsid w:val="36355FA8"/>
    <w:multiLevelType w:val="singleLevel"/>
    <w:tmpl w:val="36355FA8"/>
    <w:lvl w:ilvl="0" w:tentative="0">
      <w:start w:val="1"/>
      <w:numFmt w:val="chineseCounting"/>
      <w:suff w:val="nothing"/>
      <w:lvlText w:val="（%1）"/>
      <w:lvlJc w:val="left"/>
      <w:rPr>
        <w:rFonts w:hint="eastAsia"/>
      </w:rPr>
    </w:lvl>
  </w:abstractNum>
  <w:abstractNum w:abstractNumId="5">
    <w:nsid w:val="57372EE8"/>
    <w:multiLevelType w:val="multilevel"/>
    <w:tmpl w:val="57372EE8"/>
    <w:lvl w:ilvl="0" w:tentative="0">
      <w:start w:val="1"/>
      <w:numFmt w:val="decimal"/>
      <w:lvlText w:val="图 %1："/>
      <w:lvlJc w:val="center"/>
      <w:pPr>
        <w:ind w:left="1000" w:hanging="440"/>
      </w:pPr>
      <w:rPr>
        <w:rFonts w:hint="eastAsia" w:eastAsia="仿宋_GB2312"/>
        <w:b/>
        <w:bCs/>
        <w:sz w:val="24"/>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6F527A6C"/>
    <w:multiLevelType w:val="multilevel"/>
    <w:tmpl w:val="6F527A6C"/>
    <w:lvl w:ilvl="0" w:tentative="0">
      <w:start w:val="1"/>
      <w:numFmt w:val="decimal"/>
      <w:lvlText w:val="表 %1："/>
      <w:lvlJc w:val="center"/>
      <w:pPr>
        <w:ind w:left="440" w:hanging="440"/>
      </w:pPr>
      <w:rPr>
        <w:rFonts w:hint="eastAsia" w:eastAsia="仿宋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3"/>
  </w:num>
  <w:num w:numId="4">
    <w:abstractNumId w:val="6"/>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15BAB"/>
    <w:rsid w:val="000172C9"/>
    <w:rsid w:val="00061DCD"/>
    <w:rsid w:val="000726B8"/>
    <w:rsid w:val="00074CD3"/>
    <w:rsid w:val="00080095"/>
    <w:rsid w:val="000A2E66"/>
    <w:rsid w:val="000B32FC"/>
    <w:rsid w:val="000B3A97"/>
    <w:rsid w:val="000B4A2B"/>
    <w:rsid w:val="000B7919"/>
    <w:rsid w:val="000C09BA"/>
    <w:rsid w:val="000E1667"/>
    <w:rsid w:val="000F5BCE"/>
    <w:rsid w:val="000F615E"/>
    <w:rsid w:val="001072B9"/>
    <w:rsid w:val="001106AB"/>
    <w:rsid w:val="001379C5"/>
    <w:rsid w:val="00145932"/>
    <w:rsid w:val="00162E85"/>
    <w:rsid w:val="001703F7"/>
    <w:rsid w:val="00172820"/>
    <w:rsid w:val="0019504E"/>
    <w:rsid w:val="001B19F3"/>
    <w:rsid w:val="001C00F7"/>
    <w:rsid w:val="001C78E8"/>
    <w:rsid w:val="001F15ED"/>
    <w:rsid w:val="00221E59"/>
    <w:rsid w:val="002220FA"/>
    <w:rsid w:val="002301E3"/>
    <w:rsid w:val="00231BE2"/>
    <w:rsid w:val="00235DA8"/>
    <w:rsid w:val="00250FE7"/>
    <w:rsid w:val="0026619A"/>
    <w:rsid w:val="002830CF"/>
    <w:rsid w:val="00286BCA"/>
    <w:rsid w:val="002A271A"/>
    <w:rsid w:val="002B0F9A"/>
    <w:rsid w:val="002B67C2"/>
    <w:rsid w:val="002D06AB"/>
    <w:rsid w:val="002D46CA"/>
    <w:rsid w:val="002F4AC6"/>
    <w:rsid w:val="00307963"/>
    <w:rsid w:val="00355A9C"/>
    <w:rsid w:val="00376FDE"/>
    <w:rsid w:val="00377B33"/>
    <w:rsid w:val="003930BC"/>
    <w:rsid w:val="004077E9"/>
    <w:rsid w:val="004318B6"/>
    <w:rsid w:val="0045021F"/>
    <w:rsid w:val="00460B2F"/>
    <w:rsid w:val="004819A3"/>
    <w:rsid w:val="004831D1"/>
    <w:rsid w:val="004A502B"/>
    <w:rsid w:val="004C278F"/>
    <w:rsid w:val="004F3C08"/>
    <w:rsid w:val="00507A91"/>
    <w:rsid w:val="00522803"/>
    <w:rsid w:val="00532C38"/>
    <w:rsid w:val="0053588B"/>
    <w:rsid w:val="00542892"/>
    <w:rsid w:val="00572FC9"/>
    <w:rsid w:val="00594AB2"/>
    <w:rsid w:val="005B1474"/>
    <w:rsid w:val="005B58A4"/>
    <w:rsid w:val="005C24FC"/>
    <w:rsid w:val="0061635D"/>
    <w:rsid w:val="00616C2D"/>
    <w:rsid w:val="006226C3"/>
    <w:rsid w:val="00622997"/>
    <w:rsid w:val="00642C44"/>
    <w:rsid w:val="00647DD4"/>
    <w:rsid w:val="00651F4C"/>
    <w:rsid w:val="00663C67"/>
    <w:rsid w:val="00673003"/>
    <w:rsid w:val="006C7B2C"/>
    <w:rsid w:val="00715902"/>
    <w:rsid w:val="00716B73"/>
    <w:rsid w:val="00792B26"/>
    <w:rsid w:val="007A6340"/>
    <w:rsid w:val="007A79C1"/>
    <w:rsid w:val="007B11F7"/>
    <w:rsid w:val="007F11C6"/>
    <w:rsid w:val="007F2B8B"/>
    <w:rsid w:val="008127D2"/>
    <w:rsid w:val="00830BD5"/>
    <w:rsid w:val="00835498"/>
    <w:rsid w:val="008833B3"/>
    <w:rsid w:val="00890EFC"/>
    <w:rsid w:val="008A7911"/>
    <w:rsid w:val="008D2132"/>
    <w:rsid w:val="008F27B9"/>
    <w:rsid w:val="00921029"/>
    <w:rsid w:val="009321B6"/>
    <w:rsid w:val="009529FC"/>
    <w:rsid w:val="009605E1"/>
    <w:rsid w:val="00961454"/>
    <w:rsid w:val="0097098F"/>
    <w:rsid w:val="009801F9"/>
    <w:rsid w:val="00986393"/>
    <w:rsid w:val="009C53B6"/>
    <w:rsid w:val="009C5A7E"/>
    <w:rsid w:val="009C69FD"/>
    <w:rsid w:val="00A02A62"/>
    <w:rsid w:val="00A05AB6"/>
    <w:rsid w:val="00A123E4"/>
    <w:rsid w:val="00A258F0"/>
    <w:rsid w:val="00A617B3"/>
    <w:rsid w:val="00A7671F"/>
    <w:rsid w:val="00AA3E37"/>
    <w:rsid w:val="00AC2374"/>
    <w:rsid w:val="00AC7346"/>
    <w:rsid w:val="00AF5A1F"/>
    <w:rsid w:val="00B44DAB"/>
    <w:rsid w:val="00B54929"/>
    <w:rsid w:val="00B97B12"/>
    <w:rsid w:val="00BB6553"/>
    <w:rsid w:val="00BE0704"/>
    <w:rsid w:val="00BE34C1"/>
    <w:rsid w:val="00C2269D"/>
    <w:rsid w:val="00C92E48"/>
    <w:rsid w:val="00CA55E0"/>
    <w:rsid w:val="00CB1AE6"/>
    <w:rsid w:val="00CC3901"/>
    <w:rsid w:val="00CC77CA"/>
    <w:rsid w:val="00CD2D47"/>
    <w:rsid w:val="00CD4045"/>
    <w:rsid w:val="00CF439F"/>
    <w:rsid w:val="00D104E6"/>
    <w:rsid w:val="00D1060D"/>
    <w:rsid w:val="00D1147F"/>
    <w:rsid w:val="00D31F13"/>
    <w:rsid w:val="00D3631A"/>
    <w:rsid w:val="00D46A35"/>
    <w:rsid w:val="00D51261"/>
    <w:rsid w:val="00D60960"/>
    <w:rsid w:val="00D63724"/>
    <w:rsid w:val="00D73E2F"/>
    <w:rsid w:val="00D86216"/>
    <w:rsid w:val="00D959D4"/>
    <w:rsid w:val="00DB6C7B"/>
    <w:rsid w:val="00DD3C7D"/>
    <w:rsid w:val="00DD5EC9"/>
    <w:rsid w:val="00E35E94"/>
    <w:rsid w:val="00EA21C6"/>
    <w:rsid w:val="00EA4B72"/>
    <w:rsid w:val="00EA693C"/>
    <w:rsid w:val="00EB5560"/>
    <w:rsid w:val="00EB69E1"/>
    <w:rsid w:val="00ED605E"/>
    <w:rsid w:val="00EE1556"/>
    <w:rsid w:val="00EE24C3"/>
    <w:rsid w:val="00EE276A"/>
    <w:rsid w:val="00EE3FDB"/>
    <w:rsid w:val="00F03C77"/>
    <w:rsid w:val="00F243CD"/>
    <w:rsid w:val="00F27F91"/>
    <w:rsid w:val="00F37D19"/>
    <w:rsid w:val="00F534B9"/>
    <w:rsid w:val="00F53A10"/>
    <w:rsid w:val="00F54CA3"/>
    <w:rsid w:val="00F805CA"/>
    <w:rsid w:val="00F81292"/>
    <w:rsid w:val="00F8537E"/>
    <w:rsid w:val="00F95A5A"/>
    <w:rsid w:val="00FC43F9"/>
    <w:rsid w:val="00FC4BC8"/>
    <w:rsid w:val="00FE4E04"/>
    <w:rsid w:val="00FF124B"/>
    <w:rsid w:val="17BD4C4C"/>
    <w:rsid w:val="1BC58265"/>
    <w:rsid w:val="33CFFA33"/>
    <w:rsid w:val="3C79E19A"/>
    <w:rsid w:val="3CDF8E6D"/>
    <w:rsid w:val="3FBF613C"/>
    <w:rsid w:val="47F6FC4E"/>
    <w:rsid w:val="5B9CC2D8"/>
    <w:rsid w:val="5DEE4419"/>
    <w:rsid w:val="77FF1386"/>
    <w:rsid w:val="79A74A0E"/>
    <w:rsid w:val="7DCF891C"/>
    <w:rsid w:val="7FFD38E6"/>
    <w:rsid w:val="7FFFE6A7"/>
    <w:rsid w:val="BDFE9D87"/>
    <w:rsid w:val="BEDEF758"/>
    <w:rsid w:val="C7ABBBA8"/>
    <w:rsid w:val="D7CF997B"/>
    <w:rsid w:val="DDFF8725"/>
    <w:rsid w:val="DF7F9B71"/>
    <w:rsid w:val="E79EE22F"/>
    <w:rsid w:val="F7754950"/>
    <w:rsid w:val="F7F75F15"/>
    <w:rsid w:val="FA7B8518"/>
    <w:rsid w:val="FEF7A100"/>
    <w:rsid w:val="FFBF3493"/>
    <w:rsid w:val="FFFF197C"/>
    <w:rsid w:val="FFFFC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unhideWhenUsed/>
    <w:qFormat/>
    <w:uiPriority w:val="0"/>
  </w:style>
  <w:style w:type="paragraph" w:styleId="3">
    <w:name w:val="footer"/>
    <w:basedOn w:val="1"/>
    <w:link w:val="18"/>
    <w:qFormat/>
    <w:uiPriority w:val="0"/>
    <w:pPr>
      <w:tabs>
        <w:tab w:val="center" w:pos="4153"/>
        <w:tab w:val="right" w:pos="8306"/>
      </w:tabs>
      <w:snapToGrid w:val="0"/>
      <w:spacing w:line="240" w:lineRule="auto"/>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annotation subject"/>
    <w:basedOn w:val="2"/>
    <w:next w:val="2"/>
    <w:link w:val="26"/>
    <w:qFormat/>
    <w:uiPriority w:val="0"/>
    <w:rPr>
      <w:b/>
      <w:bCs/>
    </w:rPr>
  </w:style>
  <w:style w:type="table" w:styleId="7">
    <w:name w:val="Table Grid"/>
    <w:basedOn w:val="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563C1" w:themeColor="hyperlink"/>
      <w:u w:val="single"/>
      <w14:textFill>
        <w14:solidFill>
          <w14:schemeClr w14:val="hlink"/>
        </w14:solidFill>
      </w14:textFill>
    </w:rPr>
  </w:style>
  <w:style w:type="character" w:styleId="10">
    <w:name w:val="annotation reference"/>
    <w:basedOn w:val="8"/>
    <w:qFormat/>
    <w:uiPriority w:val="0"/>
    <w:rPr>
      <w:sz w:val="21"/>
      <w:szCs w:val="21"/>
    </w:rPr>
  </w:style>
  <w:style w:type="paragraph" w:customStyle="1" w:styleId="11">
    <w:name w:val="一级标题"/>
    <w:basedOn w:val="12"/>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2">
    <w:name w:val="List Paragraph"/>
    <w:basedOn w:val="1"/>
    <w:qFormat/>
    <w:uiPriority w:val="34"/>
    <w:pPr>
      <w:ind w:firstLine="420" w:firstLineChars="200"/>
    </w:pPr>
  </w:style>
  <w:style w:type="paragraph" w:customStyle="1" w:styleId="13">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4">
    <w:name w:val="正文文档"/>
    <w:basedOn w:val="15"/>
    <w:qFormat/>
    <w:uiPriority w:val="0"/>
    <w:pPr>
      <w:wordWrap w:val="0"/>
      <w:spacing w:afterLines="0"/>
      <w:ind w:firstLine="560"/>
    </w:pPr>
  </w:style>
  <w:style w:type="paragraph" w:customStyle="1" w:styleId="15">
    <w:name w:val="ab"/>
    <w:basedOn w:val="16"/>
    <w:link w:val="22"/>
    <w:qFormat/>
    <w:uiPriority w:val="0"/>
    <w:pPr>
      <w:spacing w:line="360" w:lineRule="auto"/>
      <w:outlineLvl w:val="9"/>
    </w:pPr>
    <w:rPr>
      <w:rFonts w:ascii="Times New Roman" w:hAnsi="Times New Roman"/>
      <w:sz w:val="28"/>
    </w:rPr>
  </w:style>
  <w:style w:type="paragraph" w:customStyle="1" w:styleId="16">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7">
    <w:name w:val="页眉 字符"/>
    <w:basedOn w:val="8"/>
    <w:link w:val="4"/>
    <w:qFormat/>
    <w:uiPriority w:val="0"/>
    <w:rPr>
      <w:rFonts w:asciiTheme="minorHAnsi" w:hAnsiTheme="minorHAnsi" w:eastAsiaTheme="minorEastAsia" w:cstheme="minorBidi"/>
      <w:sz w:val="18"/>
      <w:szCs w:val="18"/>
    </w:rPr>
  </w:style>
  <w:style w:type="character" w:customStyle="1" w:styleId="18">
    <w:name w:val="页脚 字符"/>
    <w:basedOn w:val="8"/>
    <w:link w:val="3"/>
    <w:qFormat/>
    <w:uiPriority w:val="0"/>
    <w:rPr>
      <w:rFonts w:asciiTheme="minorHAnsi" w:hAnsiTheme="minorHAnsi" w:eastAsiaTheme="minorEastAsia" w:cstheme="minorBidi"/>
      <w:sz w:val="18"/>
      <w:szCs w:val="18"/>
    </w:rPr>
  </w:style>
  <w:style w:type="paragraph" w:customStyle="1" w:styleId="19">
    <w:name w:val="三级标题"/>
    <w:basedOn w:val="15"/>
    <w:qFormat/>
    <w:uiPriority w:val="0"/>
    <w:pPr>
      <w:wordWrap w:val="0"/>
      <w:spacing w:afterLines="0"/>
      <w:ind w:firstLine="562"/>
      <w:outlineLvl w:val="3"/>
    </w:pPr>
    <w:rPr>
      <w:b/>
    </w:rPr>
  </w:style>
  <w:style w:type="character" w:customStyle="1" w:styleId="20">
    <w:name w:val="未处理的提及1"/>
    <w:basedOn w:val="8"/>
    <w:semiHidden/>
    <w:unhideWhenUsed/>
    <w:qFormat/>
    <w:uiPriority w:val="99"/>
    <w:rPr>
      <w:color w:val="605E5C"/>
      <w:shd w:val="clear" w:color="auto" w:fill="E1DFDD"/>
    </w:rPr>
  </w:style>
  <w:style w:type="paragraph" w:customStyle="1" w:styleId="21">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2">
    <w:name w:val="ab Char"/>
    <w:basedOn w:val="8"/>
    <w:link w:val="15"/>
    <w:qFormat/>
    <w:uiPriority w:val="0"/>
    <w:rPr>
      <w:rFonts w:eastAsia="仿宋_GB2312" w:cs="Arial"/>
      <w:sz w:val="28"/>
      <w:szCs w:val="32"/>
    </w:rPr>
  </w:style>
  <w:style w:type="paragraph" w:customStyle="1" w:styleId="23">
    <w:name w:val="四级标题"/>
    <w:basedOn w:val="15"/>
    <w:qFormat/>
    <w:uiPriority w:val="0"/>
    <w:pPr>
      <w:wordWrap w:val="0"/>
      <w:spacing w:afterLines="0"/>
      <w:ind w:firstLine="560"/>
    </w:pPr>
  </w:style>
  <w:style w:type="paragraph" w:customStyle="1" w:styleId="24">
    <w:name w:val="五级标题"/>
    <w:basedOn w:val="15"/>
    <w:qFormat/>
    <w:uiPriority w:val="0"/>
    <w:pPr>
      <w:wordWrap w:val="0"/>
      <w:spacing w:afterLines="0"/>
      <w:ind w:firstLine="560"/>
    </w:pPr>
  </w:style>
  <w:style w:type="character" w:customStyle="1" w:styleId="25">
    <w:name w:val="批注文字 字符"/>
    <w:basedOn w:val="8"/>
    <w:link w:val="2"/>
    <w:qFormat/>
    <w:uiPriority w:val="0"/>
    <w:rPr>
      <w:rFonts w:asciiTheme="minorHAnsi" w:hAnsiTheme="minorHAnsi" w:eastAsiaTheme="minorEastAsia" w:cstheme="minorBidi"/>
      <w:sz w:val="22"/>
      <w:szCs w:val="22"/>
    </w:rPr>
  </w:style>
  <w:style w:type="character" w:customStyle="1" w:styleId="26">
    <w:name w:val="批注主题 字符"/>
    <w:basedOn w:val="25"/>
    <w:link w:val="5"/>
    <w:qFormat/>
    <w:uiPriority w:val="0"/>
    <w:rPr>
      <w:rFonts w:asciiTheme="minorHAnsi" w:hAnsiTheme="minorHAnsi" w:eastAsiaTheme="minorEastAsia" w:cstheme="minorBidi"/>
      <w:b/>
      <w:bCs/>
      <w:sz w:val="22"/>
      <w:szCs w:val="22"/>
    </w:rPr>
  </w:style>
  <w:style w:type="character" w:customStyle="1" w:styleId="27">
    <w:name w:val="ui-provid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2560</Words>
  <Characters>14596</Characters>
  <Lines>121</Lines>
  <Paragraphs>34</Paragraphs>
  <TotalTime>15</TotalTime>
  <ScaleCrop>false</ScaleCrop>
  <LinksUpToDate>false</LinksUpToDate>
  <CharactersWithSpaces>17122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2023-02-20T23:05:00Z</dcterms:created>
  <dc:creator>Admin</dc:creator>
  <cp:lastModifiedBy>lzj</cp:lastModifiedBy>
  <dcterms:modified xsi:type="dcterms:W3CDTF">2025-05-19T10:14:27Z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