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17"/>
          <w:rFonts w:hint="eastAsia" w:ascii="宋体" w:hAnsi="宋体" w:eastAsia="宋体"/>
          <w:b/>
          <w:bCs/>
          <w:color w:val="000000"/>
          <w:sz w:val="32"/>
          <w:szCs w:val="32"/>
          <w:shd w:val="clear" w:color="auto" w:fill="FFFFFF"/>
          <w:lang w:val="en-US" w:eastAsia="zh-CN"/>
        </w:rPr>
      </w:pPr>
    </w:p>
    <w:p>
      <w:pPr>
        <w:jc w:val="center"/>
        <w:rPr>
          <w:rStyle w:val="17"/>
          <w:rFonts w:hint="eastAsia" w:ascii="宋体" w:hAnsi="宋体" w:eastAsia="宋体"/>
          <w:b/>
          <w:bCs/>
          <w:color w:val="000000"/>
          <w:sz w:val="32"/>
          <w:szCs w:val="32"/>
          <w:shd w:val="clear" w:color="auto" w:fill="FFFFFF"/>
        </w:rPr>
      </w:pPr>
      <w:r>
        <w:rPr>
          <w:rStyle w:val="17"/>
          <w:rFonts w:hint="eastAsia" w:ascii="宋体" w:hAnsi="宋体" w:eastAsia="宋体"/>
          <w:b/>
          <w:bCs/>
          <w:color w:val="000000"/>
          <w:sz w:val="32"/>
          <w:szCs w:val="32"/>
          <w:shd w:val="clear" w:color="auto" w:fill="FFFFFF"/>
        </w:rPr>
        <w:t>制造业</w:t>
      </w:r>
      <w:r>
        <w:rPr>
          <w:rStyle w:val="17"/>
          <w:rFonts w:hint="eastAsia" w:ascii="宋体" w:hAnsi="宋体" w:eastAsia="宋体"/>
          <w:b/>
          <w:bCs/>
          <w:color w:val="000000"/>
          <w:sz w:val="32"/>
          <w:szCs w:val="32"/>
          <w:shd w:val="clear" w:color="auto" w:fill="FFFFFF"/>
          <w:lang w:val="en-US" w:eastAsia="zh-CN"/>
        </w:rPr>
        <w:t>企业</w:t>
      </w:r>
      <w:r>
        <w:rPr>
          <w:rStyle w:val="17"/>
          <w:rFonts w:hint="eastAsia" w:ascii="宋体" w:hAnsi="宋体" w:eastAsia="宋体"/>
          <w:b/>
          <w:bCs/>
          <w:color w:val="000000"/>
          <w:sz w:val="32"/>
          <w:szCs w:val="32"/>
          <w:shd w:val="clear" w:color="auto" w:fill="FFFFFF"/>
        </w:rPr>
        <w:t>反舞弊审计特定程序实务应用指引——收入篇</w:t>
      </w:r>
    </w:p>
    <w:p>
      <w:pPr>
        <w:jc w:val="center"/>
        <w:rPr>
          <w:rStyle w:val="17"/>
          <w:rFonts w:ascii="宋体" w:hAnsi="宋体" w:eastAsia="宋体"/>
          <w:b/>
          <w:bCs/>
          <w:color w:val="000000"/>
          <w:sz w:val="32"/>
          <w:szCs w:val="32"/>
          <w:shd w:val="clear" w:color="auto" w:fill="FFFFFF"/>
        </w:rPr>
      </w:pPr>
    </w:p>
    <w:sdt>
      <w:sdtPr>
        <w:rPr>
          <w:rFonts w:eastAsiaTheme="minorEastAsia"/>
          <w:b w:val="0"/>
          <w:bCs w:val="0"/>
          <w:kern w:val="2"/>
          <w:sz w:val="21"/>
          <w:szCs w:val="22"/>
        </w:rPr>
        <w:id w:val="-889180794"/>
        <w:docPartObj>
          <w:docPartGallery w:val="Table of Contents"/>
          <w:docPartUnique/>
        </w:docPartObj>
      </w:sdtPr>
      <w:sdtEndPr>
        <w:rPr>
          <w:rFonts w:ascii="宋体" w:hAnsi="宋体" w:eastAsia="宋体"/>
          <w:b w:val="0"/>
          <w:bCs w:val="0"/>
          <w:kern w:val="2"/>
          <w:sz w:val="21"/>
          <w:szCs w:val="24"/>
        </w:rPr>
      </w:sdtEndPr>
      <w:sdtContent>
        <w:p>
          <w:pPr>
            <w:pStyle w:val="2"/>
            <w:ind w:firstLine="420"/>
            <w:jc w:val="center"/>
          </w:pPr>
          <w:r>
            <w:rPr>
              <w:rFonts w:hint="eastAsia"/>
            </w:rPr>
            <w:t>目录</w:t>
          </w:r>
        </w:p>
        <w:p>
          <w:pPr>
            <w:pStyle w:val="10"/>
            <w:rPr>
              <w:rFonts w:eastAsiaTheme="minorEastAsia"/>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"_Toc161346778" </w:instrText>
          </w:r>
          <w:r>
            <w:fldChar w:fldCharType="separate"/>
          </w:r>
          <w:r>
            <w:rPr>
              <w:rFonts w:eastAsiaTheme="minorEastAsia"/>
            </w:rPr>
            <w:tab/>
          </w:r>
          <w:r>
            <w:rPr>
              <w:rStyle w:val="15"/>
              <w:rFonts w:ascii="宋体" w:hAnsi="宋体"/>
              <w:color w:val="auto"/>
            </w:rPr>
            <w:t>引言</w:t>
          </w:r>
          <w:r>
            <w:tab/>
          </w:r>
          <w:r>
            <w:rPr>
              <w:rFonts w:ascii="宋体" w:hAnsi="宋体"/>
            </w:rPr>
            <w:fldChar w:fldCharType="begin"/>
          </w:r>
          <w:r>
            <w:rPr>
              <w:rFonts w:ascii="宋体" w:hAnsi="宋体"/>
            </w:rPr>
            <w:instrText xml:space="preserve"> PAGEREF _Toc161346778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0"/>
            <w:rPr>
              <w:rFonts w:eastAsiaTheme="minorEastAsia"/>
            </w:rPr>
          </w:pPr>
          <w:r>
            <w:fldChar w:fldCharType="begin"/>
          </w:r>
          <w:r>
            <w:instrText xml:space="preserve"> HYPERLINK \l "_Toc161346779" </w:instrText>
          </w:r>
          <w:r>
            <w:fldChar w:fldCharType="separate"/>
          </w:r>
          <w:r>
            <w:rPr>
              <w:rFonts w:eastAsiaTheme="minorEastAsia"/>
            </w:rPr>
            <w:tab/>
          </w:r>
          <w:r>
            <w:rPr>
              <w:rStyle w:val="15"/>
              <w:rFonts w:ascii="宋体" w:hAnsi="宋体"/>
              <w:color w:val="auto"/>
            </w:rPr>
            <w:t>制造业企业收入舞弊案例分析</w:t>
          </w:r>
          <w:r>
            <w:tab/>
          </w:r>
          <w:r>
            <w:rPr>
              <w:rFonts w:ascii="宋体" w:hAnsi="宋体"/>
            </w:rPr>
            <w:fldChar w:fldCharType="begin"/>
          </w:r>
          <w:r>
            <w:rPr>
              <w:rFonts w:ascii="宋体" w:hAnsi="宋体"/>
            </w:rPr>
            <w:instrText xml:space="preserve"> PAGEREF _Toc161346779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11"/>
            <w:rPr>
              <w:rFonts w:eastAsiaTheme="minorEastAsia"/>
            </w:rPr>
          </w:pPr>
          <w:r>
            <w:rPr>
              <w:rStyle w:val="15"/>
              <w:color w:val="auto"/>
              <w:u w:val="none"/>
            </w:rPr>
            <w:t>(</w:t>
          </w:r>
          <w:r>
            <w:rPr>
              <w:rStyle w:val="15"/>
              <w:rFonts w:hint="eastAsia"/>
              <w:color w:val="auto"/>
              <w:u w:val="none"/>
            </w:rPr>
            <w:t>一)</w:t>
          </w:r>
          <w:r>
            <w:fldChar w:fldCharType="begin"/>
          </w:r>
          <w:r>
            <w:instrText xml:space="preserve"> HYPERLINK \l "_Toc161346780" </w:instrText>
          </w:r>
          <w:r>
            <w:fldChar w:fldCharType="separate"/>
          </w:r>
          <w:r>
            <w:rPr>
              <w:rStyle w:val="15"/>
              <w:color w:val="auto"/>
            </w:rPr>
            <w:t xml:space="preserve">   制造业企业业务特征与收入舞弊易发高发可能性</w:t>
          </w:r>
          <w:r>
            <w:tab/>
          </w:r>
          <w:r>
            <w:rPr>
              <w:rFonts w:ascii="宋体" w:hAnsi="宋体"/>
              <w:bCs/>
            </w:rPr>
            <w:fldChar w:fldCharType="begin"/>
          </w:r>
          <w:r>
            <w:rPr>
              <w:rFonts w:ascii="宋体" w:hAnsi="宋体"/>
              <w:bCs/>
            </w:rPr>
            <w:instrText xml:space="preserve"> PAGEREF _Toc161346780 \h </w:instrText>
          </w:r>
          <w:r>
            <w:rPr>
              <w:rFonts w:ascii="宋体" w:hAnsi="宋体"/>
              <w:bCs/>
            </w:rPr>
            <w:fldChar w:fldCharType="separate"/>
          </w:r>
          <w:r>
            <w:rPr>
              <w:rFonts w:ascii="宋体" w:hAnsi="宋体"/>
              <w:bCs/>
            </w:rPr>
            <w:t>2</w:t>
          </w:r>
          <w:r>
            <w:rPr>
              <w:rFonts w:ascii="宋体" w:hAnsi="宋体"/>
              <w:bCs/>
            </w:rPr>
            <w:fldChar w:fldCharType="end"/>
          </w:r>
          <w:r>
            <w:rPr>
              <w:rFonts w:ascii="宋体" w:hAnsi="宋体"/>
              <w:bCs/>
            </w:rPr>
            <w:fldChar w:fldCharType="end"/>
          </w:r>
        </w:p>
        <w:p>
          <w:pPr>
            <w:pStyle w:val="11"/>
            <w:rPr>
              <w:rFonts w:eastAsiaTheme="minorEastAsia"/>
            </w:rPr>
          </w:pPr>
          <w:r>
            <w:rPr>
              <w:rStyle w:val="15"/>
              <w:color w:val="auto"/>
              <w:u w:val="none"/>
            </w:rPr>
            <w:t>(</w:t>
          </w:r>
          <w:r>
            <w:rPr>
              <w:rStyle w:val="15"/>
              <w:rFonts w:hint="eastAsia"/>
              <w:color w:val="auto"/>
              <w:u w:val="none"/>
            </w:rPr>
            <w:t>二)</w:t>
          </w:r>
          <w:r>
            <w:fldChar w:fldCharType="begin"/>
          </w:r>
          <w:r>
            <w:instrText xml:space="preserve"> HYPERLINK \l "_Toc161346781" </w:instrText>
          </w:r>
          <w:r>
            <w:fldChar w:fldCharType="separate"/>
          </w:r>
          <w:r>
            <w:rPr>
              <w:rStyle w:val="15"/>
              <w:color w:val="auto"/>
              <w:u w:val="none"/>
            </w:rPr>
            <w:t xml:space="preserve">   收入舞弊案例分析</w:t>
          </w:r>
          <w:r>
            <w:tab/>
          </w:r>
          <w:r>
            <w:rPr>
              <w:rFonts w:ascii="宋体" w:hAnsi="宋体"/>
              <w:bCs/>
            </w:rPr>
            <w:fldChar w:fldCharType="begin"/>
          </w:r>
          <w:r>
            <w:rPr>
              <w:rFonts w:ascii="宋体" w:hAnsi="宋体"/>
              <w:bCs/>
            </w:rPr>
            <w:instrText xml:space="preserve"> PAGEREF _Toc161346781 \h </w:instrText>
          </w:r>
          <w:r>
            <w:rPr>
              <w:rFonts w:ascii="宋体" w:hAnsi="宋体"/>
              <w:bCs/>
            </w:rPr>
            <w:fldChar w:fldCharType="separate"/>
          </w:r>
          <w:r>
            <w:rPr>
              <w:rFonts w:ascii="宋体" w:hAnsi="宋体"/>
              <w:bCs/>
            </w:rPr>
            <w:t>2</w:t>
          </w:r>
          <w:r>
            <w:rPr>
              <w:rFonts w:ascii="宋体" w:hAnsi="宋体"/>
              <w:bCs/>
            </w:rPr>
            <w:fldChar w:fldCharType="end"/>
          </w:r>
          <w:r>
            <w:rPr>
              <w:rFonts w:ascii="宋体" w:hAnsi="宋体"/>
              <w:bCs/>
            </w:rPr>
            <w:fldChar w:fldCharType="end"/>
          </w:r>
        </w:p>
        <w:p>
          <w:pPr>
            <w:pStyle w:val="11"/>
          </w:pPr>
          <w:r>
            <w:fldChar w:fldCharType="begin"/>
          </w:r>
          <w:r>
            <w:instrText xml:space="preserve"> HYPERLINK \l "_Toc161346782" </w:instrText>
          </w:r>
          <w:r>
            <w:fldChar w:fldCharType="separate"/>
          </w:r>
          <w:r>
            <w:rPr>
              <w:rStyle w:val="15"/>
              <w:rFonts w:ascii="宋体" w:hAnsi="宋体"/>
              <w:color w:val="auto"/>
            </w:rPr>
            <w:t>1.    千山药机舞弊案例</w:t>
          </w:r>
          <w:r>
            <w:tab/>
          </w:r>
          <w:r>
            <w:rPr>
              <w:rFonts w:ascii="宋体" w:hAnsi="宋体"/>
              <w:bCs/>
            </w:rPr>
            <w:fldChar w:fldCharType="begin"/>
          </w:r>
          <w:r>
            <w:rPr>
              <w:rFonts w:ascii="宋体" w:hAnsi="宋体"/>
              <w:bCs/>
            </w:rPr>
            <w:instrText xml:space="preserve"> PAGEREF _Toc161346782 \h </w:instrText>
          </w:r>
          <w:r>
            <w:rPr>
              <w:rFonts w:ascii="宋体" w:hAnsi="宋体"/>
              <w:bCs/>
            </w:rPr>
            <w:fldChar w:fldCharType="separate"/>
          </w:r>
          <w:r>
            <w:rPr>
              <w:rFonts w:ascii="宋体" w:hAnsi="宋体"/>
              <w:bCs/>
            </w:rPr>
            <w:t>2</w:t>
          </w:r>
          <w:r>
            <w:rPr>
              <w:rFonts w:ascii="宋体" w:hAnsi="宋体"/>
              <w:bCs/>
            </w:rPr>
            <w:fldChar w:fldCharType="end"/>
          </w:r>
          <w:r>
            <w:rPr>
              <w:rFonts w:ascii="宋体" w:hAnsi="宋体"/>
              <w:bCs/>
            </w:rPr>
            <w:fldChar w:fldCharType="end"/>
          </w:r>
        </w:p>
        <w:p>
          <w:pPr>
            <w:pStyle w:val="11"/>
          </w:pPr>
          <w:r>
            <w:fldChar w:fldCharType="begin"/>
          </w:r>
          <w:r>
            <w:instrText xml:space="preserve"> HYPERLINK \l "_Toc161346783" </w:instrText>
          </w:r>
          <w:r>
            <w:fldChar w:fldCharType="separate"/>
          </w:r>
          <w:r>
            <w:rPr>
              <w:rStyle w:val="15"/>
              <w:rFonts w:ascii="宋体" w:hAnsi="宋体"/>
              <w:color w:val="auto"/>
            </w:rPr>
            <w:t>2.    东方金钰舞弊案例</w:t>
          </w:r>
          <w:r>
            <w:tab/>
          </w:r>
          <w:r>
            <w:rPr>
              <w:rFonts w:ascii="宋体" w:hAnsi="宋体"/>
              <w:bCs/>
            </w:rPr>
            <w:fldChar w:fldCharType="begin"/>
          </w:r>
          <w:r>
            <w:rPr>
              <w:rFonts w:ascii="宋体" w:hAnsi="宋体"/>
              <w:bCs/>
            </w:rPr>
            <w:instrText xml:space="preserve"> PAGEREF _Toc161346783 \h </w:instrText>
          </w:r>
          <w:r>
            <w:rPr>
              <w:rFonts w:ascii="宋体" w:hAnsi="宋体"/>
              <w:bCs/>
            </w:rPr>
            <w:fldChar w:fldCharType="separate"/>
          </w:r>
          <w:r>
            <w:rPr>
              <w:rFonts w:ascii="宋体" w:hAnsi="宋体"/>
              <w:bCs/>
            </w:rPr>
            <w:t>5</w:t>
          </w:r>
          <w:r>
            <w:rPr>
              <w:rFonts w:ascii="宋体" w:hAnsi="宋体"/>
              <w:bCs/>
            </w:rPr>
            <w:fldChar w:fldCharType="end"/>
          </w:r>
          <w:r>
            <w:rPr>
              <w:rFonts w:ascii="宋体" w:hAnsi="宋体"/>
              <w:bCs/>
            </w:rPr>
            <w:fldChar w:fldCharType="end"/>
          </w:r>
        </w:p>
        <w:p>
          <w:pPr>
            <w:pStyle w:val="11"/>
            <w:rPr>
              <w:rFonts w:eastAsiaTheme="minorEastAsia"/>
            </w:rPr>
          </w:pPr>
          <w:r>
            <w:rPr>
              <w:rStyle w:val="15"/>
              <w:rFonts w:ascii="宋体" w:hAnsi="宋体"/>
              <w:color w:val="auto"/>
              <w:u w:val="none"/>
            </w:rPr>
            <w:t>3.</w:t>
          </w:r>
          <w:r>
            <w:fldChar w:fldCharType="begin"/>
          </w:r>
          <w:r>
            <w:instrText xml:space="preserve"> HYPERLINK \l "_Toc161346784" </w:instrText>
          </w:r>
          <w:r>
            <w:fldChar w:fldCharType="separate"/>
          </w:r>
          <w:r>
            <w:rPr>
              <w:rStyle w:val="15"/>
              <w:color w:val="auto"/>
              <w:u w:val="none"/>
            </w:rPr>
            <w:t xml:space="preserve">    蓝山科技舞弊案例</w:t>
          </w:r>
          <w:r>
            <w:tab/>
          </w:r>
          <w:r>
            <w:rPr>
              <w:rFonts w:ascii="宋体" w:hAnsi="宋体"/>
              <w:bCs/>
            </w:rPr>
            <w:fldChar w:fldCharType="begin"/>
          </w:r>
          <w:r>
            <w:rPr>
              <w:rFonts w:ascii="宋体" w:hAnsi="宋体"/>
              <w:bCs/>
            </w:rPr>
            <w:instrText xml:space="preserve"> PAGEREF _Toc161346784 \h </w:instrText>
          </w:r>
          <w:r>
            <w:rPr>
              <w:rFonts w:ascii="宋体" w:hAnsi="宋体"/>
              <w:bCs/>
            </w:rPr>
            <w:fldChar w:fldCharType="separate"/>
          </w:r>
          <w:r>
            <w:rPr>
              <w:rFonts w:ascii="宋体" w:hAnsi="宋体"/>
              <w:bCs/>
            </w:rPr>
            <w:t>8</w:t>
          </w:r>
          <w:r>
            <w:rPr>
              <w:rFonts w:ascii="宋体" w:hAnsi="宋体"/>
              <w:bCs/>
            </w:rPr>
            <w:fldChar w:fldCharType="end"/>
          </w:r>
          <w:r>
            <w:rPr>
              <w:rFonts w:ascii="宋体" w:hAnsi="宋体"/>
              <w:bCs/>
            </w:rPr>
            <w:fldChar w:fldCharType="end"/>
          </w:r>
        </w:p>
        <w:p>
          <w:pPr>
            <w:pStyle w:val="10"/>
            <w:rPr>
              <w:rFonts w:eastAsiaTheme="minorEastAsia"/>
            </w:rPr>
          </w:pPr>
          <w:r>
            <w:rPr>
              <w:rStyle w:val="15"/>
              <w:color w:val="auto"/>
              <w:u w:val="none"/>
            </w:rPr>
            <w:t xml:space="preserve">  </w:t>
          </w:r>
          <w:r>
            <w:fldChar w:fldCharType="begin"/>
          </w:r>
          <w:r>
            <w:instrText xml:space="preserve"> HYPERLINK \l "_Toc161346785" </w:instrText>
          </w:r>
          <w:r>
            <w:fldChar w:fldCharType="separate"/>
          </w:r>
          <w:r>
            <w:rPr>
              <w:rStyle w:val="15"/>
              <w:rFonts w:ascii="宋体" w:hAnsi="宋体"/>
              <w:color w:val="auto"/>
            </w:rPr>
            <w:t>应对制造业企业收入舞弊的审计程序</w:t>
          </w:r>
          <w:r>
            <w:tab/>
          </w:r>
          <w:r>
            <w:rPr>
              <w:rFonts w:ascii="宋体" w:hAnsi="宋体"/>
            </w:rPr>
            <w:fldChar w:fldCharType="begin"/>
          </w:r>
          <w:r>
            <w:rPr>
              <w:rFonts w:ascii="宋体" w:hAnsi="宋体"/>
            </w:rPr>
            <w:instrText xml:space="preserve"> PAGEREF _Toc161346785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pPr>
            <w:pStyle w:val="11"/>
            <w:rPr>
              <w:rFonts w:eastAsiaTheme="minorEastAsia"/>
            </w:rPr>
          </w:pPr>
          <w:r>
            <w:fldChar w:fldCharType="begin"/>
          </w:r>
          <w:r>
            <w:instrText xml:space="preserve"> HYPERLINK \l "_Toc161346786" </w:instrText>
          </w:r>
          <w:r>
            <w:fldChar w:fldCharType="separate"/>
          </w:r>
          <w:r>
            <w:rPr>
              <w:rStyle w:val="15"/>
              <w:color w:val="auto"/>
            </w:rPr>
            <w:t>(</w:t>
          </w:r>
          <w:r>
            <w:rPr>
              <w:rStyle w:val="15"/>
              <w:rFonts w:hint="eastAsia"/>
              <w:color w:val="auto"/>
            </w:rPr>
            <w:t>一)</w:t>
          </w:r>
          <w:r>
            <w:rPr>
              <w:rStyle w:val="15"/>
              <w:color w:val="auto"/>
            </w:rPr>
            <w:t xml:space="preserve">   常规基础性审计程序</w:t>
          </w:r>
          <w:r>
            <w:tab/>
          </w:r>
          <w:r>
            <w:rPr>
              <w:rFonts w:ascii="宋体" w:hAnsi="宋体"/>
              <w:bCs/>
            </w:rPr>
            <w:fldChar w:fldCharType="begin"/>
          </w:r>
          <w:r>
            <w:rPr>
              <w:rFonts w:ascii="宋体" w:hAnsi="宋体"/>
              <w:bCs/>
            </w:rPr>
            <w:instrText xml:space="preserve"> PAGEREF _Toc161346786 \h </w:instrText>
          </w:r>
          <w:r>
            <w:rPr>
              <w:rFonts w:ascii="宋体" w:hAnsi="宋体"/>
              <w:bCs/>
            </w:rPr>
            <w:fldChar w:fldCharType="separate"/>
          </w:r>
          <w:r>
            <w:rPr>
              <w:rFonts w:ascii="宋体" w:hAnsi="宋体"/>
              <w:bCs/>
            </w:rPr>
            <w:t>12</w:t>
          </w:r>
          <w:r>
            <w:rPr>
              <w:rFonts w:ascii="宋体" w:hAnsi="宋体"/>
              <w:bCs/>
            </w:rPr>
            <w:fldChar w:fldCharType="end"/>
          </w:r>
          <w:r>
            <w:rPr>
              <w:rFonts w:ascii="宋体" w:hAnsi="宋体"/>
              <w:bCs/>
            </w:rPr>
            <w:fldChar w:fldCharType="end"/>
          </w:r>
        </w:p>
        <w:p>
          <w:pPr>
            <w:pStyle w:val="11"/>
            <w:rPr>
              <w:rFonts w:eastAsiaTheme="minorEastAsia"/>
            </w:rPr>
          </w:pPr>
          <w:r>
            <w:fldChar w:fldCharType="begin"/>
          </w:r>
          <w:r>
            <w:instrText xml:space="preserve"> HYPERLINK \l "_Toc161346787" </w:instrText>
          </w:r>
          <w:r>
            <w:fldChar w:fldCharType="separate"/>
          </w:r>
          <w:r>
            <w:rPr>
              <w:rStyle w:val="15"/>
              <w:color w:val="auto"/>
            </w:rPr>
            <w:t>(</w:t>
          </w:r>
          <w:r>
            <w:rPr>
              <w:rStyle w:val="15"/>
              <w:rFonts w:hint="eastAsia"/>
              <w:color w:val="auto"/>
            </w:rPr>
            <w:t>二)</w:t>
          </w:r>
          <w:r>
            <w:rPr>
              <w:rStyle w:val="15"/>
              <w:color w:val="auto"/>
            </w:rPr>
            <w:t xml:space="preserve">   延伸实施的反舞弊审计特定程序</w:t>
          </w:r>
          <w:r>
            <w:tab/>
          </w:r>
          <w:r>
            <w:rPr>
              <w:rFonts w:ascii="宋体" w:hAnsi="宋体"/>
              <w:bCs/>
            </w:rPr>
            <w:fldChar w:fldCharType="begin"/>
          </w:r>
          <w:r>
            <w:rPr>
              <w:rFonts w:ascii="宋体" w:hAnsi="宋体"/>
              <w:bCs/>
            </w:rPr>
            <w:instrText xml:space="preserve"> PAGEREF _Toc161346787 \h </w:instrText>
          </w:r>
          <w:r>
            <w:rPr>
              <w:rFonts w:ascii="宋体" w:hAnsi="宋体"/>
              <w:bCs/>
            </w:rPr>
            <w:fldChar w:fldCharType="separate"/>
          </w:r>
          <w:r>
            <w:rPr>
              <w:rFonts w:ascii="宋体" w:hAnsi="宋体"/>
              <w:bCs/>
            </w:rPr>
            <w:t>14</w:t>
          </w:r>
          <w:r>
            <w:rPr>
              <w:rFonts w:ascii="宋体" w:hAnsi="宋体"/>
              <w:bCs/>
            </w:rPr>
            <w:fldChar w:fldCharType="end"/>
          </w:r>
          <w:r>
            <w:rPr>
              <w:rFonts w:ascii="宋体" w:hAnsi="宋体"/>
              <w:bCs/>
            </w:rPr>
            <w:fldChar w:fldCharType="end"/>
          </w:r>
        </w:p>
        <w:p>
          <w:pPr>
            <w:pStyle w:val="10"/>
            <w:numPr>
              <w:ilvl w:val="0"/>
              <w:numId w:val="0"/>
            </w:numPr>
            <w:ind w:left="456" w:hanging="456"/>
            <w:rPr>
              <w:rFonts w:eastAsiaTheme="minorEastAsia"/>
            </w:rPr>
          </w:pPr>
          <w:r>
            <w:fldChar w:fldCharType="begin"/>
          </w:r>
          <w:r>
            <w:instrText xml:space="preserve"> HYPERLINK \l "_Toc161346788" </w:instrText>
          </w:r>
          <w:r>
            <w:fldChar w:fldCharType="separate"/>
          </w:r>
          <w:r>
            <w:rPr>
              <w:rStyle w:val="15"/>
              <w:rFonts w:ascii="宋体" w:hAnsi="宋体"/>
              <w:color w:val="auto"/>
            </w:rPr>
            <w:t>四、</w:t>
          </w:r>
          <w:r>
            <w:rPr>
              <w:rFonts w:eastAsiaTheme="minorEastAsia"/>
            </w:rPr>
            <w:tab/>
          </w:r>
          <w:r>
            <w:rPr>
              <w:rFonts w:eastAsiaTheme="minorEastAsia"/>
            </w:rPr>
            <w:t xml:space="preserve">  </w:t>
          </w:r>
          <w:r>
            <w:rPr>
              <w:rStyle w:val="15"/>
              <w:rFonts w:ascii="宋体" w:hAnsi="宋体"/>
              <w:color w:val="auto"/>
            </w:rPr>
            <w:t>延伸实施的反舞弊审计特定程序工作底稿示例</w:t>
          </w:r>
          <w:r>
            <w:tab/>
          </w:r>
          <w:r>
            <w:rPr>
              <w:rFonts w:ascii="宋体" w:hAnsi="宋体"/>
            </w:rPr>
            <w:fldChar w:fldCharType="begin"/>
          </w:r>
          <w:r>
            <w:rPr>
              <w:rFonts w:ascii="宋体" w:hAnsi="宋体"/>
            </w:rPr>
            <w:instrText xml:space="preserve"> PAGEREF _Toc161346788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spacing w:line="400" w:lineRule="exact"/>
            <w:rPr>
              <w:rFonts w:ascii="宋体" w:hAnsi="宋体" w:eastAsia="宋体"/>
              <w:b/>
              <w:bCs/>
              <w:sz w:val="24"/>
              <w:szCs w:val="24"/>
            </w:rPr>
          </w:pPr>
          <w:r>
            <w:rPr>
              <w:rFonts w:ascii="宋体" w:hAnsi="宋体" w:eastAsia="宋体"/>
              <w:sz w:val="24"/>
              <w:szCs w:val="24"/>
            </w:rPr>
            <w:fldChar w:fldCharType="end"/>
          </w:r>
        </w:p>
      </w:sdtContent>
    </w:sdt>
    <w:p>
      <w:pPr>
        <w:pStyle w:val="2"/>
      </w:pPr>
      <w:r>
        <w:rPr>
          <w:rFonts w:hint="eastAsia"/>
        </w:rPr>
        <w:t>一、</w:t>
      </w:r>
      <w:bookmarkStart w:id="0" w:name="_Toc161346778"/>
      <w:r>
        <w:rPr>
          <w:rFonts w:hint="eastAsia"/>
        </w:rPr>
        <w:t>引言</w:t>
      </w:r>
      <w:bookmarkEnd w:id="0"/>
    </w:p>
    <w:p>
      <w:pPr>
        <w:spacing w:line="360" w:lineRule="auto"/>
        <w:ind w:left="-84" w:leftChars="-40" w:firstLine="505"/>
        <w:rPr>
          <w:rFonts w:ascii="宋体" w:hAnsi="宋体" w:eastAsia="宋体"/>
          <w:sz w:val="24"/>
          <w:szCs w:val="24"/>
        </w:rPr>
      </w:pPr>
      <w:r>
        <w:rPr>
          <w:rFonts w:hint="eastAsia" w:ascii="宋体" w:hAnsi="宋体" w:eastAsia="宋体"/>
          <w:sz w:val="24"/>
          <w:szCs w:val="24"/>
        </w:rPr>
        <w:t>制造业是</w:t>
      </w:r>
      <w:r>
        <w:fldChar w:fldCharType="begin"/>
      </w:r>
      <w:r>
        <w:instrText xml:space="preserve"> HYPERLINK "https://baike.baidu.com/item/%E7%AB%8B%E5%9B%BD%E4%B9%8B%E6%9C%AC/1067037?fromModule=lemma_inlink" \t "https://baike.baidu.com/item/%E5%88%B6%E9%80%A0%E4%B8%9A/_blank" </w:instrText>
      </w:r>
      <w:r>
        <w:fldChar w:fldCharType="separate"/>
      </w:r>
      <w:r>
        <w:rPr>
          <w:rFonts w:hint="eastAsia" w:ascii="宋体" w:hAnsi="宋体" w:eastAsia="宋体"/>
          <w:sz w:val="24"/>
          <w:szCs w:val="24"/>
        </w:rPr>
        <w:t>立国之本</w:t>
      </w:r>
      <w:r>
        <w:rPr>
          <w:rFonts w:hint="eastAsia" w:ascii="宋体" w:hAnsi="宋体" w:eastAsia="宋体"/>
          <w:sz w:val="24"/>
          <w:szCs w:val="24"/>
        </w:rPr>
        <w:fldChar w:fldCharType="end"/>
      </w:r>
      <w:r>
        <w:rPr>
          <w:rFonts w:hint="eastAsia" w:ascii="宋体" w:hAnsi="宋体" w:eastAsia="宋体"/>
          <w:sz w:val="24"/>
          <w:szCs w:val="24"/>
        </w:rPr>
        <w:t>、强国之基，是国家经济命脉所系，推动制造业高质量发展是建设现代化经济体系的内在要求。广东、浙江作为经济“火车头”，对推动中国制造实现高质量责无旁贷。两省高度重视制造业发展，广东坚持制造业立省不动摇</w:t>
      </w:r>
      <w:bookmarkStart w:id="144" w:name="_GoBack"/>
      <w:bookmarkEnd w:id="144"/>
      <w:r>
        <w:rPr>
          <w:rFonts w:hint="eastAsia" w:ascii="宋体" w:hAnsi="宋体" w:eastAsia="宋体"/>
          <w:sz w:val="24"/>
          <w:szCs w:val="24"/>
        </w:rPr>
        <w:t>，加快建设制造强省，将努力打造世界先进水平的先进制造业基地、全球重要的制造业创新聚集地、制造业高水平开放合作先行地、国际一流的制造业发展环境高地等四个发展定位；浙江坚持以高端化智能化绿色化国际化为主攻方向，以“腾笼换鸟、凤凰涅槃”为主要抓手，坚持集中财力办大事，着力重塑制造业政策体系，统筹推进空间腾换、招大做强、企业优强、品质提升、数字赋能、创新强工六大行动，加快构建以“415X”先进制造业集群为主体的现代化产业体系，打造全球先进制造业基地。</w:t>
      </w:r>
    </w:p>
    <w:p>
      <w:pPr>
        <w:spacing w:line="360" w:lineRule="auto"/>
        <w:ind w:left="-84" w:leftChars="-40" w:firstLine="505"/>
        <w:rPr>
          <w:rFonts w:ascii="宋体" w:hAnsi="宋体" w:eastAsia="宋体"/>
          <w:sz w:val="24"/>
          <w:szCs w:val="24"/>
        </w:rPr>
      </w:pPr>
      <w:r>
        <w:rPr>
          <w:rFonts w:hint="eastAsia" w:ascii="宋体" w:hAnsi="宋体" w:eastAsia="宋体"/>
          <w:sz w:val="24"/>
          <w:szCs w:val="24"/>
        </w:rPr>
        <w:t>注册会计师在经济领域肩负重要角色，围绕助力广东、浙江经济发展，为两省制造业赋能，实现制造业企业高质量财务报告工作发挥独特作用，为提升企业会计信息质量和经济效率作出重要贡献。制造业企业财务舞弊危害极大，严重扭曲市场资源配置，损害投资者信心，遏制制造业企业工匠精神和创新精神。随着经济环境、商业模式以及行业技术的持续变革，制造业企业财务造假手段越来越多样且复杂，隐蔽性强。本文（指引）就制造业易发高发的收入舞弊领域，展开反舞弊审计特定程序实务应用分析。</w:t>
      </w:r>
    </w:p>
    <w:p>
      <w:pPr>
        <w:pStyle w:val="2"/>
      </w:pPr>
      <w:bookmarkStart w:id="1" w:name="_Toc155344312"/>
      <w:bookmarkEnd w:id="1"/>
      <w:bookmarkStart w:id="2" w:name="_Toc156488733"/>
      <w:bookmarkEnd w:id="2"/>
      <w:bookmarkStart w:id="3" w:name="_Toc155342556"/>
      <w:bookmarkEnd w:id="3"/>
      <w:bookmarkStart w:id="4" w:name="_Toc155342557"/>
      <w:bookmarkEnd w:id="4"/>
      <w:bookmarkStart w:id="5" w:name="_Toc155349169"/>
      <w:bookmarkEnd w:id="5"/>
      <w:bookmarkStart w:id="6" w:name="_Toc155344313"/>
      <w:bookmarkEnd w:id="6"/>
      <w:bookmarkStart w:id="7" w:name="_Toc156488348"/>
      <w:bookmarkEnd w:id="7"/>
      <w:bookmarkStart w:id="8" w:name="_Toc156580271"/>
      <w:bookmarkEnd w:id="8"/>
      <w:bookmarkStart w:id="9" w:name="_Toc156228044"/>
      <w:bookmarkEnd w:id="9"/>
      <w:bookmarkStart w:id="10" w:name="_Toc156488692"/>
      <w:bookmarkEnd w:id="10"/>
      <w:bookmarkStart w:id="11" w:name="_Toc155344858"/>
      <w:bookmarkEnd w:id="11"/>
      <w:bookmarkStart w:id="12" w:name="_Toc155888672"/>
      <w:bookmarkEnd w:id="12"/>
      <w:bookmarkStart w:id="13" w:name="_Toc155349171"/>
      <w:bookmarkEnd w:id="13"/>
      <w:bookmarkStart w:id="14" w:name="_Toc156488714"/>
      <w:bookmarkEnd w:id="14"/>
      <w:bookmarkStart w:id="15" w:name="_Toc156488713"/>
      <w:bookmarkEnd w:id="15"/>
      <w:bookmarkStart w:id="16" w:name="_Toc156488405"/>
      <w:bookmarkEnd w:id="16"/>
      <w:bookmarkStart w:id="17" w:name="_Toc156488672"/>
      <w:bookmarkEnd w:id="17"/>
      <w:bookmarkStart w:id="18" w:name="_Toc155344859"/>
      <w:bookmarkEnd w:id="18"/>
      <w:bookmarkStart w:id="19" w:name="_Toc155342558"/>
      <w:bookmarkEnd w:id="19"/>
      <w:bookmarkStart w:id="20" w:name="_Toc155344294"/>
      <w:bookmarkEnd w:id="20"/>
      <w:bookmarkStart w:id="21" w:name="_Toc156488380"/>
      <w:bookmarkEnd w:id="21"/>
      <w:bookmarkStart w:id="22" w:name="_Toc155286740"/>
      <w:bookmarkEnd w:id="22"/>
      <w:bookmarkStart w:id="23" w:name="_Toc155344293"/>
      <w:bookmarkEnd w:id="23"/>
      <w:bookmarkStart w:id="24" w:name="_Toc155345537"/>
      <w:bookmarkEnd w:id="24"/>
      <w:bookmarkStart w:id="25" w:name="_Toc155345538"/>
      <w:bookmarkEnd w:id="25"/>
      <w:bookmarkStart w:id="26" w:name="_Toc156580270"/>
      <w:bookmarkEnd w:id="26"/>
      <w:bookmarkStart w:id="27" w:name="_Toc156488349"/>
      <w:bookmarkEnd w:id="27"/>
      <w:bookmarkStart w:id="28" w:name="_Toc155344857"/>
      <w:bookmarkEnd w:id="28"/>
      <w:bookmarkStart w:id="29" w:name="_Toc155349170"/>
      <w:bookmarkEnd w:id="29"/>
      <w:bookmarkStart w:id="30" w:name="_Toc155888650"/>
      <w:bookmarkEnd w:id="30"/>
      <w:bookmarkStart w:id="31" w:name="_Toc155344314"/>
      <w:bookmarkEnd w:id="31"/>
      <w:bookmarkStart w:id="32" w:name="_Toc155888673"/>
      <w:bookmarkEnd w:id="32"/>
      <w:bookmarkStart w:id="33" w:name="_Toc155286739"/>
      <w:bookmarkEnd w:id="33"/>
      <w:bookmarkStart w:id="34" w:name="_Toc156488691"/>
      <w:bookmarkEnd w:id="34"/>
      <w:bookmarkStart w:id="35" w:name="_Toc156488407"/>
      <w:bookmarkEnd w:id="35"/>
      <w:bookmarkStart w:id="36" w:name="_Toc155344295"/>
      <w:bookmarkEnd w:id="36"/>
      <w:bookmarkStart w:id="37" w:name="_Toc155286741"/>
      <w:bookmarkEnd w:id="37"/>
      <w:bookmarkStart w:id="38" w:name="_Toc156488693"/>
      <w:bookmarkEnd w:id="38"/>
      <w:bookmarkStart w:id="39" w:name="_Toc155286743"/>
      <w:bookmarkEnd w:id="39"/>
      <w:bookmarkStart w:id="40" w:name="_Toc156488675"/>
      <w:bookmarkEnd w:id="40"/>
      <w:bookmarkStart w:id="41" w:name="_Toc156488674"/>
      <w:bookmarkEnd w:id="41"/>
      <w:bookmarkStart w:id="42" w:name="_Toc156488673"/>
      <w:bookmarkEnd w:id="42"/>
      <w:bookmarkStart w:id="43" w:name="_Toc156486667"/>
      <w:bookmarkEnd w:id="43"/>
      <w:bookmarkStart w:id="44" w:name="_Toc156228043"/>
      <w:bookmarkEnd w:id="44"/>
      <w:bookmarkStart w:id="45" w:name="_Toc156488351"/>
      <w:bookmarkEnd w:id="45"/>
      <w:bookmarkStart w:id="46" w:name="_Toc156486668"/>
      <w:bookmarkEnd w:id="46"/>
      <w:bookmarkStart w:id="47" w:name="_Toc156228042"/>
      <w:bookmarkEnd w:id="47"/>
      <w:bookmarkStart w:id="48" w:name="_Toc155888674"/>
      <w:bookmarkEnd w:id="48"/>
      <w:bookmarkStart w:id="49" w:name="_Toc156486669"/>
      <w:bookmarkEnd w:id="49"/>
      <w:bookmarkStart w:id="50" w:name="_Toc155344315"/>
      <w:bookmarkEnd w:id="50"/>
      <w:bookmarkStart w:id="51" w:name="_Toc155888651"/>
      <w:bookmarkEnd w:id="51"/>
      <w:bookmarkStart w:id="52" w:name="_Toc156486666"/>
      <w:bookmarkEnd w:id="52"/>
      <w:bookmarkStart w:id="53" w:name="_Toc156488382"/>
      <w:bookmarkEnd w:id="53"/>
      <w:bookmarkStart w:id="54" w:name="_Toc156488735"/>
      <w:bookmarkEnd w:id="54"/>
      <w:bookmarkStart w:id="55" w:name="_Toc155344296"/>
      <w:bookmarkEnd w:id="55"/>
      <w:bookmarkStart w:id="56" w:name="_Toc156580272"/>
      <w:bookmarkEnd w:id="56"/>
      <w:bookmarkStart w:id="57" w:name="_Toc155345536"/>
      <w:bookmarkEnd w:id="57"/>
      <w:bookmarkStart w:id="58" w:name="_Toc156488715"/>
      <w:bookmarkEnd w:id="58"/>
      <w:bookmarkStart w:id="59" w:name="_Toc156488695"/>
      <w:bookmarkEnd w:id="59"/>
      <w:bookmarkStart w:id="60" w:name="_Toc156488383"/>
      <w:bookmarkEnd w:id="60"/>
      <w:bookmarkStart w:id="61" w:name="_Toc155349173"/>
      <w:bookmarkEnd w:id="61"/>
      <w:bookmarkStart w:id="62" w:name="_Toc156488737"/>
      <w:bookmarkEnd w:id="62"/>
      <w:bookmarkStart w:id="63" w:name="_Toc156486670"/>
      <w:bookmarkEnd w:id="63"/>
      <w:bookmarkStart w:id="64" w:name="_Toc155888649"/>
      <w:bookmarkEnd w:id="64"/>
      <w:bookmarkStart w:id="65" w:name="_Toc156488736"/>
      <w:bookmarkEnd w:id="65"/>
      <w:bookmarkStart w:id="66" w:name="_Toc156580274"/>
      <w:bookmarkEnd w:id="66"/>
      <w:bookmarkStart w:id="67" w:name="_Toc156488717"/>
      <w:bookmarkEnd w:id="67"/>
      <w:bookmarkStart w:id="68" w:name="_Toc155286742"/>
      <w:bookmarkEnd w:id="68"/>
      <w:bookmarkStart w:id="69" w:name="_Toc155344860"/>
      <w:bookmarkEnd w:id="69"/>
      <w:bookmarkStart w:id="70" w:name="_Toc155888652"/>
      <w:bookmarkEnd w:id="70"/>
      <w:bookmarkStart w:id="71" w:name="_Toc156228046"/>
      <w:bookmarkEnd w:id="71"/>
      <w:bookmarkStart w:id="72" w:name="_Toc155344316"/>
      <w:bookmarkEnd w:id="72"/>
      <w:bookmarkStart w:id="73" w:name="_Toc156488352"/>
      <w:bookmarkEnd w:id="73"/>
      <w:bookmarkStart w:id="74" w:name="_Toc155342559"/>
      <w:bookmarkEnd w:id="74"/>
      <w:bookmarkStart w:id="75" w:name="_Toc155342560"/>
      <w:bookmarkEnd w:id="75"/>
      <w:bookmarkStart w:id="76" w:name="_Toc156488381"/>
      <w:bookmarkEnd w:id="76"/>
      <w:bookmarkStart w:id="77" w:name="_Toc156488408"/>
      <w:bookmarkEnd w:id="77"/>
      <w:bookmarkStart w:id="78" w:name="_Toc155888675"/>
      <w:bookmarkEnd w:id="78"/>
      <w:bookmarkStart w:id="79" w:name="_Toc156488716"/>
      <w:bookmarkEnd w:id="79"/>
      <w:bookmarkStart w:id="80" w:name="_Toc156488676"/>
      <w:bookmarkEnd w:id="80"/>
      <w:bookmarkStart w:id="81" w:name="_Toc156488406"/>
      <w:bookmarkEnd w:id="81"/>
      <w:bookmarkStart w:id="82" w:name="_Toc156488734"/>
      <w:bookmarkEnd w:id="82"/>
      <w:bookmarkStart w:id="83" w:name="_Toc156488694"/>
      <w:bookmarkEnd w:id="83"/>
      <w:bookmarkStart w:id="84" w:name="_Toc155344297"/>
      <w:bookmarkEnd w:id="84"/>
      <w:bookmarkStart w:id="85" w:name="_Toc155345539"/>
      <w:bookmarkEnd w:id="85"/>
      <w:bookmarkStart w:id="86" w:name="_Toc156228045"/>
      <w:bookmarkEnd w:id="86"/>
      <w:bookmarkStart w:id="87" w:name="_Toc156488350"/>
      <w:bookmarkEnd w:id="87"/>
      <w:bookmarkStart w:id="88" w:name="_Toc155888653"/>
      <w:bookmarkEnd w:id="88"/>
      <w:bookmarkStart w:id="89" w:name="_Toc155888676"/>
      <w:bookmarkEnd w:id="89"/>
      <w:bookmarkStart w:id="90" w:name="_Toc156488384"/>
      <w:bookmarkEnd w:id="90"/>
      <w:bookmarkStart w:id="91" w:name="_Toc156580273"/>
      <w:bookmarkEnd w:id="91"/>
      <w:bookmarkStart w:id="92" w:name="_Toc155344861"/>
      <w:bookmarkEnd w:id="92"/>
      <w:bookmarkStart w:id="93" w:name="_Toc156488409"/>
      <w:bookmarkEnd w:id="93"/>
      <w:bookmarkStart w:id="94" w:name="_Toc155345540"/>
      <w:bookmarkEnd w:id="94"/>
      <w:bookmarkStart w:id="95" w:name="_Toc155349172"/>
      <w:bookmarkEnd w:id="95"/>
      <w:bookmarkStart w:id="96" w:name="_Toc161346779"/>
      <w:r>
        <w:rPr>
          <w:rFonts w:hint="eastAsia"/>
        </w:rPr>
        <w:t>二、</w:t>
      </w:r>
      <w:r>
        <w:t>制造业企业收入舞弊案例分析</w:t>
      </w:r>
      <w:bookmarkEnd w:id="96"/>
    </w:p>
    <w:p>
      <w:pPr>
        <w:pStyle w:val="3"/>
      </w:pPr>
      <w:bookmarkStart w:id="97" w:name="_Toc161346780"/>
      <w:r>
        <w:rPr>
          <w:rFonts w:hint="eastAsia"/>
        </w:rPr>
        <w:t>(一</w:t>
      </w:r>
      <w:r>
        <w:t>)</w:t>
      </w:r>
      <w:r>
        <w:rPr>
          <w:rFonts w:hint="eastAsia"/>
        </w:rPr>
        <w:t>制造业企业业务特征与收入舞弊易发高发可能性</w:t>
      </w:r>
      <w:bookmarkEnd w:id="97"/>
    </w:p>
    <w:p>
      <w:pPr>
        <w:spacing w:line="360" w:lineRule="auto"/>
        <w:ind w:left="-84" w:leftChars="-40" w:firstLine="505"/>
        <w:rPr>
          <w:rFonts w:ascii="宋体" w:hAnsi="宋体" w:eastAsia="宋体"/>
          <w:sz w:val="24"/>
          <w:szCs w:val="24"/>
        </w:rPr>
      </w:pPr>
      <w:r>
        <w:rPr>
          <w:rFonts w:hint="eastAsia" w:ascii="宋体" w:hAnsi="宋体" w:eastAsia="宋体"/>
          <w:sz w:val="24"/>
          <w:szCs w:val="24"/>
        </w:rPr>
        <w:t>制造业具有较为鲜明行业特征，经营业务面覆盖广泛，经营模式多样，收入确认复杂，成本构成丰富；整个产销存供应链条长，涉及原材料与服务采购及付款、工程建造与固定资产采购及付款、产品销售与收款、存货计价与成本核算结转、新技术新工艺新产品研究与开发等多个经营业务流程；资产种类繁多，固定资产投资大、应收账款结算周期长，存货形态多样；会计核算流程相对其他行业更为复杂，各类交易业务与事项涉及的会计核算类型多样，核算范围广。特别是，制造业企业所经营产品因市场供需关系变化而具有行业周期性，收入在不同年度或季度之间会呈现出不同规律特点的周期波动变化；因客户群体及其地域差异性，企业通常会通过形式多样的渠道销售产品，收入也会因不同具体销售流程及相关合同条款差异，而导致不同的确认方式和确认时点。</w:t>
      </w:r>
    </w:p>
    <w:p>
      <w:pPr>
        <w:spacing w:line="360" w:lineRule="auto"/>
        <w:ind w:left="-84" w:leftChars="-40" w:firstLine="505"/>
        <w:rPr>
          <w:rFonts w:ascii="宋体" w:hAnsi="宋体" w:eastAsia="宋体"/>
          <w:sz w:val="24"/>
          <w:szCs w:val="24"/>
        </w:rPr>
      </w:pPr>
      <w:r>
        <w:rPr>
          <w:rFonts w:hint="eastAsia" w:ascii="宋体" w:hAnsi="宋体" w:eastAsia="宋体"/>
          <w:sz w:val="24"/>
          <w:szCs w:val="24"/>
        </w:rPr>
        <w:t>基于上述行业特征，制造业收入模式多样，核算复杂。又因收入是企业利润来源最直接的关键驱动因素，直接关系到企业的财务状况和经营成果。制造业企业往往为达到粉饰财务报表的目的而采用虚构销售业务（包括虚假销售业务穿插在真实销售业务中）、关联方交易非关联化、经销商或代理商囤货交易、人为调节交易价格与毛利率、提前或推迟确认收入等方式实施收入舞弊。在制造业财务舞弊案件中，涉及收入的舞弊占有很大比例，收入已成为财务报表审计过程中的财务舞弊最易发高发风险领域。本文（指引）选择几个制造业上市公司收入舞弊典型案件，剖析企业舞弊手段与注册会计师审计失败原因。</w:t>
      </w:r>
    </w:p>
    <w:p>
      <w:pPr>
        <w:pStyle w:val="3"/>
      </w:pPr>
      <w:bookmarkStart w:id="98" w:name="_Toc161346781"/>
      <w:r>
        <w:rPr>
          <w:rFonts w:hint="eastAsia"/>
        </w:rPr>
        <w:t>(二)收入</w:t>
      </w:r>
      <w:r>
        <w:t>舞弊案例</w:t>
      </w:r>
      <w:r>
        <w:rPr>
          <w:rFonts w:hint="eastAsia"/>
        </w:rPr>
        <w:t>分析</w:t>
      </w:r>
      <w:bookmarkEnd w:id="98"/>
    </w:p>
    <w:p>
      <w:pPr>
        <w:pStyle w:val="26"/>
      </w:pPr>
      <w:bookmarkStart w:id="99" w:name="_Toc161346782"/>
      <w:r>
        <w:rPr>
          <w:rFonts w:hint="eastAsia"/>
        </w:rPr>
        <w:t>1.千山药机舞弊案例</w:t>
      </w:r>
      <w:bookmarkEnd w:id="99"/>
    </w:p>
    <w:p>
      <w:pPr>
        <w:spacing w:line="360" w:lineRule="auto"/>
        <w:ind w:firstLine="490"/>
        <w:rPr>
          <w:rFonts w:ascii="宋体" w:hAnsi="宋体" w:eastAsia="宋体"/>
          <w:sz w:val="24"/>
          <w:szCs w:val="24"/>
        </w:rPr>
      </w:pPr>
      <w:r>
        <w:rPr>
          <w:rFonts w:hint="eastAsia" w:ascii="宋体" w:hAnsi="宋体" w:eastAsia="宋体"/>
          <w:sz w:val="24"/>
          <w:szCs w:val="24"/>
        </w:rPr>
        <w:t>千山药机成立于</w:t>
      </w:r>
      <w:r>
        <w:rPr>
          <w:rFonts w:ascii="宋体" w:hAnsi="宋体" w:eastAsia="宋体"/>
          <w:sz w:val="24"/>
          <w:szCs w:val="24"/>
        </w:rPr>
        <w:t>2002年10月，</w:t>
      </w:r>
      <w:r>
        <w:rPr>
          <w:rFonts w:hint="eastAsia" w:ascii="宋体" w:hAnsi="宋体" w:eastAsia="宋体"/>
          <w:sz w:val="24"/>
          <w:szCs w:val="24"/>
        </w:rPr>
        <w:t>主要从事制药机械、医疗器械、包装机械、医药包材、医疗器械装备产品的研发、生产和销售，</w:t>
      </w:r>
      <w:r>
        <w:rPr>
          <w:rFonts w:ascii="宋体" w:hAnsi="宋体" w:eastAsia="宋体"/>
          <w:sz w:val="24"/>
          <w:szCs w:val="24"/>
        </w:rPr>
        <w:t>2011年5月在深圳证券交易所创业板公开上市。2015年</w:t>
      </w:r>
      <w:r>
        <w:rPr>
          <w:rFonts w:hint="eastAsia" w:ascii="宋体" w:hAnsi="宋体" w:eastAsia="宋体"/>
          <w:sz w:val="24"/>
          <w:szCs w:val="24"/>
        </w:rPr>
        <w:t>起，千山药机新增全自动组合烟花生产线，此产品业务逐渐成为其收入与利润的新增长点。</w:t>
      </w:r>
    </w:p>
    <w:p>
      <w:pPr>
        <w:spacing w:line="360" w:lineRule="auto"/>
        <w:ind w:firstLine="490"/>
        <w:rPr>
          <w:rFonts w:ascii="宋体" w:hAnsi="宋体" w:eastAsia="宋体"/>
          <w:sz w:val="24"/>
          <w:szCs w:val="24"/>
        </w:rPr>
      </w:pPr>
      <w:r>
        <w:rPr>
          <w:rFonts w:hint="eastAsia" w:ascii="宋体" w:hAnsi="宋体" w:eastAsia="宋体"/>
          <w:sz w:val="24"/>
          <w:szCs w:val="24"/>
        </w:rPr>
        <w:t>根据中国证监会行政处罚决定书〔</w:t>
      </w:r>
      <w:r>
        <w:rPr>
          <w:rFonts w:ascii="宋体" w:hAnsi="宋体" w:eastAsia="宋体"/>
          <w:sz w:val="24"/>
          <w:szCs w:val="24"/>
        </w:rPr>
        <w:t>2020〕32号</w:t>
      </w:r>
      <w:r>
        <w:rPr>
          <w:rFonts w:hint="eastAsia" w:ascii="宋体" w:hAnsi="宋体" w:eastAsia="宋体"/>
          <w:sz w:val="24"/>
          <w:szCs w:val="24"/>
        </w:rPr>
        <w:t>，千山药机</w:t>
      </w:r>
      <w:r>
        <w:rPr>
          <w:rFonts w:ascii="宋体" w:hAnsi="宋体" w:eastAsia="宋体"/>
          <w:sz w:val="24"/>
          <w:szCs w:val="24"/>
        </w:rPr>
        <w:t>2015年</w:t>
      </w:r>
      <w:r>
        <w:rPr>
          <w:rFonts w:hint="eastAsia" w:ascii="宋体" w:hAnsi="宋体" w:eastAsia="宋体"/>
          <w:sz w:val="24"/>
          <w:szCs w:val="24"/>
        </w:rPr>
        <w:t>至</w:t>
      </w:r>
      <w:r>
        <w:rPr>
          <w:rFonts w:ascii="宋体" w:hAnsi="宋体" w:eastAsia="宋体"/>
          <w:sz w:val="24"/>
          <w:szCs w:val="24"/>
        </w:rPr>
        <w:t>2016年</w:t>
      </w:r>
      <w:r>
        <w:rPr>
          <w:rFonts w:hint="eastAsia" w:ascii="宋体" w:hAnsi="宋体" w:eastAsia="宋体"/>
          <w:sz w:val="24"/>
          <w:szCs w:val="24"/>
        </w:rPr>
        <w:t>期间实施财务舞弊，虚增收入，具体情况简述如下：</w:t>
      </w:r>
    </w:p>
    <w:p>
      <w:pPr>
        <w:spacing w:line="360" w:lineRule="auto"/>
        <w:ind w:firstLine="490"/>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85888" behindDoc="0" locked="0" layoutInCell="1" allowOverlap="1">
                <wp:simplePos x="0" y="0"/>
                <wp:positionH relativeFrom="margin">
                  <wp:posOffset>-114300</wp:posOffset>
                </wp:positionH>
                <wp:positionV relativeFrom="paragraph">
                  <wp:posOffset>96520</wp:posOffset>
                </wp:positionV>
                <wp:extent cx="5530850" cy="3511550"/>
                <wp:effectExtent l="0" t="0" r="12700" b="12700"/>
                <wp:wrapNone/>
                <wp:docPr id="53" name="Rectangle 53"/>
                <wp:cNvGraphicFramePr/>
                <a:graphic xmlns:a="http://schemas.openxmlformats.org/drawingml/2006/main">
                  <a:graphicData uri="http://schemas.microsoft.com/office/word/2010/wordprocessingShape">
                    <wps:wsp>
                      <wps:cNvSpPr/>
                      <wps:spPr>
                        <a:xfrm>
                          <a:off x="0" y="0"/>
                          <a:ext cx="5530850" cy="35115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3" o:spid="_x0000_s1026" o:spt="1" style="position:absolute;left:0pt;margin-left:-9pt;margin-top:7.6pt;height:276.5pt;width:435.5pt;mso-position-horizontal-relative:margin;z-index:251685888;v-text-anchor:middle;mso-width-relative:page;mso-height-relative:page;" filled="f" stroked="t" coordsize="21600,21600" o:gfxdata="UEsDBAoAAAAAAIdO4kAAAAAAAAAAAAAAAAAEAAAAZHJzL1BLAwQUAAAACACHTuJAzv1S/dYAAAAK&#10;AQAADwAAAGRycy9kb3ducmV2LnhtbE2PzU7DMBCE70i8g7VI3FonKSlWiFMhJK5IFLi78eYH7HUU&#10;O23p07Oc4Lgzo9lv6t3ZO3HEOY6BNOTrDARSG+xIvYb3t+eVAhGTIWtcINTwjRF2zfVVbSobTvSK&#10;x33qBZdQrIyGIaWpkjK2A3oT12FCYq8LszeJz7mXdjYnLvdOFlm2ld6MxB8GM+HTgO3XfvEawuNl&#10;c/fiP5zsF9V19/EzL+1F69ubPHsAkfCc/sLwi8/o0DDTISxko3AaVrniLYmNsgDBAVVuWDhoKLeq&#10;ANnU8v+E5gdQSwMEFAAAAAgAh07iQAlorZVuAgAA8QQAAA4AAABkcnMvZTJvRG9jLnhtbK1UyW7b&#10;MBC9F+g/ELw38hKlrhA5MGK4KBC0QdOiZ5qiJALcStKW06/vI6UsTXvIoT7Is/HNzOMML69OWpGj&#10;8EFaU9P52YwSYbhtpOlq+v3b7t2KkhCZaZiyRtT0XgR6tX775nJwlVjY3qpGeAIQE6rB1bSP0VVF&#10;EXgvNAtn1gkDZ2u9ZhGq74rGswHoWhWL2eyiGKxvnLdchADrdnTSCdG/BtC2reRia/lBCxNHVC8U&#10;i2gp9NIFus7Vtq3g8UvbBhGJqik6jfmLJJD36VusL1nVeeZ6yacS2GtKeNGTZtIg6SPUlkVGDl7+&#10;BaUl9zbYNp5xq4uxkcwIupjPXnBz1zMnci+gOrhH0sP/g+Wfj7eeyKam5ZISwzRu/CtYY6ZTgsAG&#10;ggYXKsTduVs/aQFi6vbUep3+0Qc5ZVLvH0kVp0g4jGW5nK1K8M3hW5bzeQkFOMXTcedD/CisJkmo&#10;qUf+TCY73oQ4hj6EpGzG7qRSsLNKGTLU9GKZ8RmmscUUIJV26CiYjhKmOow5jz4jBqtkk06nw8F3&#10;+2vlyZFhOBa7crHajUE9a8RoLWf4TdVO4bnyP3BSbVsW+vFIdqUjrNIyYlWU1DVdJaAHJGUAklgd&#10;eUzS3jb3uAhvxwkNju8kYG9YiLfMYyRBIJY2fsGnVRZN20mipLf+17/sKR6TAi8lA0YcjPw8MC8o&#10;UZ8MZujD/Pw87URWzsv3Cyj+uWf/3GMO+tqCqDmeB8ezmOKjehBbb/UP7PYmZYWLGY7cI/eTch3H&#10;1cPrwMVmk8OwB47FG3PneAIfL3hziLaV+e6f2JlIwybkO5i2Nq3acz1HPb1U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O/VL91gAAAAoBAAAPAAAAAAAAAAEAIAAAACIAAABkcnMvZG93bnJldi54&#10;bWxQSwECFAAUAAAACACHTuJACWitlW4CAADxBAAADgAAAAAAAAABACAAAAAlAQAAZHJzL2Uyb0Rv&#10;Yy54bWxQSwUGAAAAAAYABgBZAQAABQYAAAAA&#10;">
                <v:fill on="f" focussize="0,0"/>
                <v:stroke weight="0.5pt" color="#2F528F [3204]" miterlimit="8" joinstyle="miter"/>
                <v:imagedata o:title=""/>
                <o:lock v:ext="edit" aspectratio="f"/>
              </v:rect>
            </w:pict>
          </mc:Fallback>
        </mc:AlternateContent>
      </w:r>
    </w:p>
    <w:p>
      <w:pPr>
        <w:jc w:val="center"/>
        <w:rPr>
          <w:rFonts w:ascii="宋体" w:hAnsi="宋体" w:eastAsia="宋体"/>
          <w:b/>
          <w:bCs/>
          <w:sz w:val="24"/>
          <w:szCs w:val="24"/>
        </w:rPr>
      </w:pPr>
      <w:r>
        <w:rPr>
          <w:rFonts w:hint="eastAsia" w:ascii="宋体" w:hAnsi="宋体" w:eastAsia="宋体"/>
          <w:b/>
          <w:bCs/>
          <w:sz w:val="24"/>
          <w:szCs w:val="24"/>
        </w:rPr>
        <w:t>与没有生产许可资质、不具备履约能力的名义客户虚构销售交易</w:t>
      </w:r>
    </w:p>
    <w:p>
      <w:pPr>
        <w:rPr>
          <w:rFonts w:ascii="宋体" w:hAnsi="宋体" w:eastAsia="宋体"/>
          <w:sz w:val="24"/>
          <w:szCs w:val="24"/>
        </w:rPr>
      </w:pPr>
    </w:p>
    <w:p>
      <w:pPr>
        <w:pStyle w:val="18"/>
        <w:rPr>
          <w:rFonts w:ascii="宋体" w:hAnsi="宋体" w:eastAsia="宋体"/>
          <w:sz w:val="24"/>
          <w:szCs w:val="24"/>
        </w:rPr>
      </w:pPr>
      <w:r>
        <w:rPr>
          <w:rFonts w:hint="eastAsia" w:ascii="宋体" w:hAnsi="宋体" w:eastAsia="宋体"/>
          <w:sz w:val="24"/>
          <w:szCs w:val="24"/>
        </w:rPr>
        <w:t>实际控制名义客户虚构交易</w:t>
      </w:r>
    </w:p>
    <w:p>
      <w:pPr>
        <w:pStyle w:val="18"/>
        <w:rPr>
          <w:rFonts w:ascii="宋体" w:hAnsi="宋体" w:eastAsia="宋体"/>
          <w:sz w:val="24"/>
          <w:szCs w:val="24"/>
        </w:rPr>
      </w:pPr>
      <w:r>
        <w:rPr>
          <w:rFonts w:hint="eastAsia" w:ascii="宋体" w:hAnsi="宋体" w:eastAsia="宋体"/>
          <w:sz w:val="24"/>
          <w:szCs w:val="24"/>
        </w:rPr>
        <w:t>与不具备恰当履约能力客户虚构交易</w:t>
      </w:r>
    </w:p>
    <w:p>
      <w:pPr>
        <w:pStyle w:val="18"/>
        <w:rPr>
          <w:rFonts w:ascii="宋体" w:hAnsi="宋体" w:eastAsia="宋体"/>
          <w:sz w:val="24"/>
          <w:szCs w:val="24"/>
        </w:rPr>
      </w:pPr>
      <w:r>
        <w:rPr>
          <w:rFonts w:hint="eastAsia" w:ascii="宋体" w:hAnsi="宋体" w:eastAsia="宋体"/>
          <w:sz w:val="24"/>
          <w:szCs w:val="24"/>
        </w:rPr>
        <w:t>伪造</w:t>
      </w:r>
      <w:r>
        <w:rPr>
          <w:rFonts w:ascii="宋体" w:hAnsi="宋体" w:eastAsia="宋体"/>
          <w:sz w:val="24"/>
          <w:szCs w:val="24"/>
        </w:rPr>
        <w:t>资金流</w:t>
      </w:r>
    </w:p>
    <w:p>
      <w:pPr>
        <w:pStyle w:val="18"/>
        <w:rPr>
          <w:rFonts w:ascii="宋体" w:hAnsi="宋体" w:eastAsia="宋体"/>
          <w:sz w:val="24"/>
          <w:szCs w:val="24"/>
        </w:rPr>
      </w:pPr>
      <w:r>
        <w:rPr>
          <w:rFonts w:hint="eastAsia" w:ascii="宋体" w:hAnsi="宋体" w:eastAsia="宋体"/>
          <w:sz w:val="24"/>
          <w:szCs w:val="24"/>
        </w:rPr>
        <w:t>无货物流</w:t>
      </w:r>
    </w:p>
    <w:p>
      <w:pPr>
        <w:pStyle w:val="18"/>
        <w:rPr>
          <w:rFonts w:ascii="宋体" w:hAnsi="宋体" w:eastAsia="宋体"/>
          <w:sz w:val="24"/>
          <w:szCs w:val="24"/>
        </w:rPr>
      </w:pPr>
      <w:r>
        <w:rPr>
          <w:rFonts w:hint="eastAsia" w:ascii="宋体" w:hAnsi="宋体" w:eastAsia="宋体"/>
          <w:sz w:val="24"/>
          <w:szCs w:val="24"/>
        </w:rPr>
        <w:t>虚构单据</w:t>
      </w:r>
      <w:r>
        <w:rPr>
          <w:rFonts w:ascii="宋体" w:hAnsi="宋体" w:eastAsia="宋体"/>
          <w:sz w:val="24"/>
          <w:szCs w:val="24"/>
        </w:rPr>
        <w:t>流</w: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62336" behindDoc="0" locked="0" layoutInCell="1" allowOverlap="1">
                <wp:simplePos x="0" y="0"/>
                <wp:positionH relativeFrom="margin">
                  <wp:posOffset>1459230</wp:posOffset>
                </wp:positionH>
                <wp:positionV relativeFrom="paragraph">
                  <wp:posOffset>295910</wp:posOffset>
                </wp:positionV>
                <wp:extent cx="2482850" cy="298450"/>
                <wp:effectExtent l="0" t="0" r="0" b="0"/>
                <wp:wrapNone/>
                <wp:docPr id="5" name="Rectangle 5"/>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签署销售合同、已售产品代管补充协议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114.9pt;margin-top:23.3pt;height:23.5pt;width:195.5pt;mso-position-horizontal-relative:margin;z-index:251662336;v-text-anchor:middle;mso-width-relative:page;mso-height-relative:page;" filled="f" stroked="f" coordsize="21600,21600" o:gfxdata="UEsDBAoAAAAAAIdO4kAAAAAAAAAAAAAAAAAEAAAAZHJzL1BLAwQUAAAACACHTuJAh6jhXdcAAAAJ&#10;AQAADwAAAGRycy9kb3ducmV2LnhtbE2PwU7DMBBE70j8g7VI3KjdgKw2xKkEEkKoB0QLd8d2k4h4&#10;HdlO0v49ywmOOzuaeVPtzn5gs4upD6hgvRLAHJpge2wVfB5f7jbAUtZo9RDQKbi4BLv6+qrSpQ0L&#10;frj5kFtGIZhKraDLeSw5T6ZzXqdVGB3S7xSi15nO2HIb9ULhfuCFEJJ73SM1dHp0z50z34fJK/gK&#10;p6fFmwbf5st7P73uozGbvVK3N2vxCCy7c/4zwy8+oUNNTE2Y0CY2KCiKLaFnBQ9SAiODLAQJjYLt&#10;vQReV/z/gvoHUEsDBBQAAAAIAIdO4kA1V7DIVAIAALAEAAAOAAAAZHJzL2Uyb0RvYy54bWytVE1v&#10;2zAMvQ/YfxB0X50YyZoGdYqgQYcBxVq0G3ZWZCkWoK9JSpzu1+9Jdtug26GH5eCQIv1IPj368upo&#10;NDmIEJWzDZ2eTSgRlrtW2V1Df3y/+bSgJCZmW6adFQ19EpFerT5+uOz9UtSuc7oVgQDExmXvG9ql&#10;5JdVFXknDItnzguLoHTBsAQ37Ko2sB7oRlf1ZPK56l1ofXBcxIjTzRCkI2J4D6CTUnGxcXxvhE0D&#10;ahCaJYwUO+UjXZVupRQ83UkZRSK6oZg0lSeKwN7mZ7W6ZMtdYL5TfGyBvaeFNzMZpiyKvkBtWGJk&#10;H9RfUEbx4KKT6Yw7Uw2DFEYwxXTyhpvHjnlRZgHV0b+QHv8fLP92uA9EtQ2dU2KZwYU/gDRmd1qQ&#10;eaan93GJrEd/H0YvwsyzHmUw+R9TkGOh9OmFUnFMhOOwni3qxRxsc8Tqi8UMNmCq17d9iOmLcIZk&#10;o6EB1QuT7HAb05D6nJKLWXejtMY5W2pLeii4Pp9kfAYtSmgApvGYJ9odJUzvIHKeQoE8eTdDbljs&#10;yIFBGdFp1Q5aMCpB3lqZhi4m+Te2qy26zlwM02crHbfHkZKta5/AY3CDwKLnNwoVbllM9yxAUegQ&#10;O5fu8JDaoW03WpR0Lvz+13nOx0UjSkkPhaLNX3sWBCX6q4UELqazGWBTcWbz8xpOOI1sTyN2b64d&#10;Rp1iuz0vZs5P+tmUwZmfWM11rooQsxy1B/JG5zoNm4Pl5mK9LmmQsWfp1j56nsGHK1rvk5Oq3F4m&#10;amBn5A9CLvc/Ll3elFO/ZL1+aF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eo4V3XAAAACQEA&#10;AA8AAAAAAAAAAQAgAAAAIgAAAGRycy9kb3ducmV2LnhtbFBLAQIUABQAAAAIAIdO4kA1V7DIVAIA&#10;ALAEAAAOAAAAAAAAAAEAIAAAACYBAABkcnMvZTJvRG9jLnhtbFBLBQYAAAAABgAGAFkBAADsBQAA&#10;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签署销售合同、已售产品代管补充协议</w:t>
                      </w:r>
                    </w:p>
                  </w:txbxContent>
                </v:textbox>
              </v:rect>
            </w:pict>
          </mc:Fallback>
        </mc:AlternateConten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101600</wp:posOffset>
                </wp:positionV>
                <wp:extent cx="3060065" cy="0"/>
                <wp:effectExtent l="38100" t="76200" r="26670" b="95250"/>
                <wp:wrapNone/>
                <wp:docPr id="40" name="Straight Arrow Connector 40"/>
                <wp:cNvGraphicFramePr/>
                <a:graphic xmlns:a="http://schemas.openxmlformats.org/drawingml/2006/main">
                  <a:graphicData uri="http://schemas.microsoft.com/office/word/2010/wordprocessingShape">
                    <wps:wsp>
                      <wps:cNvCnPr/>
                      <wps:spPr>
                        <a:xfrm>
                          <a:off x="0" y="0"/>
                          <a:ext cx="3060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o:spt="32" type="#_x0000_t32" style="position:absolute;left:0pt;margin-left:90pt;margin-top:8pt;height:0pt;width:240.95pt;z-index:251664384;mso-width-relative:page;mso-height-relative:page;" filled="f" stroked="t" coordsize="21600,21600" o:gfxdata="UEsDBAoAAAAAAIdO4kAAAAAAAAAAAAAAAAAEAAAAZHJzL1BLAwQUAAAACACHTuJAD6ey1NQAAAAJ&#10;AQAADwAAAGRycy9kb3ducmV2LnhtbE1PPU/DMBDdkfgP1iGxIOqYIZQQpwIkljKlRcxufCSG+Bxs&#10;tyn8eg4xwHT37p7eR706+lEcMCYXSINaFCCQumAd9Rqet4+XSxApG7JmDIQaPjHBqjk9qU1lw0wt&#10;Hja5FyxCqTIahpynSsrUDehNWoQJiX+vIXqTGcZe2mhmFvejvCqKUnrjiB0GM+HDgN37Zu81pBe1&#10;Vu312l18tO7tSz3dqfs4a31+popbEBmP+Y8MP/E5OjScaRf2ZJMYGS8L7pJ5KXkyoSzVDYjd70E2&#10;tfzfoPkGUEsDBBQAAAAIAIdO4kBywXDs9gEAAAIEAAAOAAAAZHJzL2Uyb0RvYy54bWytU8tu2zAQ&#10;vBfoPxC817Id1w0My0FhN70UrYG0H7CmKIkAX9hlLPvvu6Qcp0l7yKE+yCSXO7MzGq3vTs6Ko0Yy&#10;wddyNplKob0KjfFdLX/9vP9wKwUl8A3Y4HUtz5rk3eb9u/UQV3oe+mAbjYJBPK2GWMs+pbiqKlK9&#10;dkCTELXnYhvQQeItdlWDMDC6s9V8Ol1WQ8AmYlCaiE93Y1FeEPEtgKFtjdK7oB6d9mlERW0hsSTq&#10;TSS5KdO2rVbpR9uSTsLWkpWm8mQSXh/ys9qsYdUhxN6oywjwlhFeaXJgPJNeoXaQQDyi+QvKGYWB&#10;QpsmKrhqFFIcYRWz6StvHnqIumhhqyleTaf/B6u+H/coTFPLBVviwfEbf0gIpuuT+IwYBrEN3rOP&#10;AQVfYb+GSCtu2/o9XnYU95jFn1p0+Z9liVPx+Hz1WJ+SUHx4M11O+SeFeqpVz40RKX3VwYm8qCVd&#10;BrlOMCsew/EbJabmxqeGzOrDvbG2vFDrxVDL5c3HzAMc0pbDwUsXWSj5TgqwHadfJSyIFKxpcnfG&#10;IewOW4viCJyZxeLTfLvIspntxbVMvQPqx3ulNKbJmcQfiDWulrdZ6iVkvYbmi29EOkf2OKEB31k9&#10;tiQw9t81ZrWeybPpo815dQjNubhfzjkaZbxLjHP2/tyX7udPd/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6ey1NQAAAAJAQAADwAAAAAAAAABACAAAAAiAAAAZHJzL2Rvd25yZXYueG1sUEsBAhQA&#10;FAAAAAgAh07iQHLBcOz2AQAAAgQAAA4AAAAAAAAAAQAgAAAAIwEAAGRycy9lMm9Eb2MueG1sUEsF&#10;BgAAAAAGAAYAWQEAAIsFAAAAAA==&#10;">
                <v:fill on="f" focussize="0,0"/>
                <v:stroke weight="0.5pt" color="#4472C4 [3204]" miterlimit="8" joinstyle="miter" startarrow="block" endarrow="block"/>
                <v:imagedata o:title=""/>
                <o:lock v:ext="edit" aspectratio="f"/>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1270</wp:posOffset>
                </wp:positionV>
                <wp:extent cx="864235" cy="539750"/>
                <wp:effectExtent l="0" t="0" r="12700" b="12700"/>
                <wp:wrapNone/>
                <wp:docPr id="62" name="流程图: 可选过程 13"/>
                <wp:cNvGraphicFramePr/>
                <a:graphic xmlns:a="http://schemas.openxmlformats.org/drawingml/2006/main">
                  <a:graphicData uri="http://schemas.microsoft.com/office/word/2010/wordprocessingShape">
                    <wps:wsp>
                      <wps:cNvSpPr/>
                      <wps:spPr>
                        <a:xfrm>
                          <a:off x="0" y="0"/>
                          <a:ext cx="864000" cy="540000"/>
                        </a:xfrm>
                        <a:prstGeom prst="flowChartAlternateProces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r>
                              <w:rPr>
                                <w:rFonts w:hint="eastAsia" w:ascii="宋体" w:hAnsi="宋体" w:eastAsia="宋体"/>
                                <w:b/>
                                <w:bCs/>
                                <w:sz w:val="24"/>
                                <w:szCs w:val="24"/>
                              </w:rPr>
                              <w:t>千山药机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top:0.1pt;height:42.5pt;width:68.05pt;mso-position-horizontal:left;mso-position-horizontal-relative:margin;z-index:251660288;v-text-anchor:middle;mso-width-relative:page;mso-height-relative:page;" fillcolor="#C55A11 [2405]" filled="t" stroked="t" coordsize="21600,21600" o:gfxdata="UEsDBAoAAAAAAIdO4kAAAAAAAAAAAAAAAAAEAAAAZHJzL1BLAwQUAAAACACHTuJA9y4yHNQAAAAE&#10;AQAADwAAAGRycy9kb3ducmV2LnhtbE2OwU7DMBBE70j9B2srcaN2UlGqEKcHJC6FSwsIcXPjbZI2&#10;Xke22xS+nu0JjqMZvXnl6uJ6ccYQO08aspkCgVR721Gj4f3t+W4JIiZD1vSeUMM3RlhVk5vSFNaP&#10;tMHzNjWCIRQLo6FNaSikjHWLzsSZH5C42/vgTOIYGmmDGRnuepkrtZDOdMQPrRnwqcX6uD05DWqz&#10;fvk4+Ifjep9/zsOrPXyN7kfr22mmHkEkvKS/MVz1WR0qdtr5E9koembwTkMO4trNFxmInYblfQ6y&#10;KuV/+eoXUEsDBBQAAAAIAIdO4kBmYdv8uwIAAGkFAAAOAAAAZHJzL2Uyb0RvYy54bWytVM1uEzEQ&#10;viPxDpbvdLNL0oaomypKFIRUaKSCODteb9aS/7CdbMoJThXiwAPwAtw4cYWnKT9vwdje9A+QeuCy&#10;O+PxfDPzzYwPj7ZSoA2zjmtV4nyvhxFTVFdcrUr84vn8wRAj54mqiNCKlfiMOXw0vn/vsDUjVuhG&#10;i4pZBCDKjVpT4sZ7M8oyRxsmidvThikw1tpK4kG1q6yypAV0KbKi19vPWm0rYzVlzsHpLBlxh2jv&#10;AqjrmlM203QtmfIJ1TJBPJTkGm4cHsds65pRf1LXjnkkSgyV+viFICAvwzcbH5LRyhLTcNqlQO6S&#10;wq2aJOEKgl5CzYgnaG35H1CSU6udrv0e1TJLhURGoIq8d4ub04YYFmsBqp25JN39P1j6bLOwiFcl&#10;3i8wUkRCx79/efvj0/uLj19H6OLD519v3v38dg4HKH8Y6GqNG4HXqVnYTnMghtq3tZXhD1WhbaT4&#10;7JJitvWIwuFwv9/rAfkUTIMgxhZkV87GOv+YaYmCUOJa6HbaEOsnwjOriGeLNDqRbbI5dh6yAP+d&#10;X0jAacGrORciKna1nAqLNgRGYDoYTPI8+oq1fKqrdHwwuErEpfsR9AaQUKiFhSkOYv4ERr+GkYNS&#10;pAH6nFphRMQKdop6GyPc8O5gU7xiPiiG83SpIRVLpyGJHR3/zCLUOSOuSS4xRBpiyYEgJLgEkgPQ&#10;DkkoKCU0LbUpSH673Ha9W+rqDAbA6rQZztA5hwjHxPkFsbAK0Ct4LPwJfEIvSqw7CaNG29d/Ow/3&#10;YULBilELqwXkvFoTyzASTxTM7qO83w+7GJX+4KAAxV63LK9b1FpONbQuh2fJ0CiG+17sxNpq+RLe&#10;lEmICiaiKMRObeiUqU8rD68SZZNJvAb7Z4g/VqeGBvAwKkpP1l7XPI5UICqx0/EHGxiHonstwopf&#10;1+Otqxdy/B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3LjIc1AAAAAQBAAAPAAAAAAAAAAEAIAAA&#10;ACIAAABkcnMvZG93bnJldi54bWxQSwECFAAUAAAACACHTuJAZmHb/LsCAABpBQAADgAAAAAAAAAB&#10;ACAAAAAjAQAAZHJzL2Uyb0RvYy54bWxQSwUGAAAAAAYABgBZAQAAUAYAAAAA&#10;">
                <v:fill on="t" focussize="0,0"/>
                <v:stroke weight="1pt" color="#2F528F [3204]" miterlimit="8" joinstyle="miter"/>
                <v:imagedata o:title=""/>
                <o:lock v:ext="edit" aspectratio="f"/>
                <v:textbox>
                  <w:txbxContent>
                    <w:p>
                      <w:pPr>
                        <w:jc w:val="center"/>
                        <w:rPr>
                          <w:b/>
                          <w:bCs/>
                        </w:rPr>
                      </w:pPr>
                      <w:r>
                        <w:rPr>
                          <w:rFonts w:hint="eastAsia" w:ascii="宋体" w:hAnsi="宋体" w:eastAsia="宋体"/>
                          <w:b/>
                          <w:bCs/>
                          <w:sz w:val="24"/>
                          <w:szCs w:val="24"/>
                        </w:rPr>
                        <w:t>千山药机</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4344035</wp:posOffset>
                </wp:positionH>
                <wp:positionV relativeFrom="paragraph">
                  <wp:posOffset>635</wp:posOffset>
                </wp:positionV>
                <wp:extent cx="864235" cy="539750"/>
                <wp:effectExtent l="0" t="0" r="12700" b="12700"/>
                <wp:wrapNone/>
                <wp:docPr id="60" name="流程图: 可选过程 13"/>
                <wp:cNvGraphicFramePr/>
                <a:graphic xmlns:a="http://schemas.openxmlformats.org/drawingml/2006/main">
                  <a:graphicData uri="http://schemas.microsoft.com/office/word/2010/wordprocessingShape">
                    <wps:wsp>
                      <wps:cNvSpPr/>
                      <wps:spPr>
                        <a:xfrm>
                          <a:off x="0" y="0"/>
                          <a:ext cx="864000" cy="540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b/>
                                <w:bCs/>
                                <w:sz w:val="24"/>
                                <w:szCs w:val="24"/>
                              </w:rPr>
                            </w:pPr>
                            <w:r>
                              <w:rPr>
                                <w:rFonts w:hint="eastAsia" w:ascii="宋体" w:hAnsi="宋体" w:eastAsia="宋体"/>
                                <w:b/>
                                <w:bCs/>
                                <w:sz w:val="24"/>
                                <w:szCs w:val="24"/>
                              </w:rPr>
                              <w:t>名义客户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left:342.05pt;margin-top:0.05pt;height:42.5pt;width:68.05pt;z-index:251661312;v-text-anchor:middle;mso-width-relative:page;mso-height-relative:page;" fillcolor="#4472C4 [3204]" filled="t" stroked="t" coordsize="21600,21600" o:gfxdata="UEsDBAoAAAAAAIdO4kAAAAAAAAAAAAAAAAAEAAAAZHJzL1BLAwQUAAAACACHTuJAWYgXR9UAAAAH&#10;AQAADwAAAGRycy9kb3ducmV2LnhtbE2OTUvDQBCG74L/YRnBm91N0BJiNgULxYNeWgvibZodk2h2&#10;Nma3X//e6Ulv8/K8vPNUi5Mf1IGm2Ae2kM0MKOImuJ5bC9u31V0BKiZkh0NgsnCmCIv6+qrC0oUj&#10;r+mwSa2SEY4lWuhSGkutY9ORxzgLI7GwzzB5TBKnVrsJjzLuB50bM9cee5YPHY607Kj53uy9BTw/&#10;uZ/hJT6vX1cfeZu+3pcpsrW3N5l5BJXolP7KcNEXdajFaRf27KIaLMyL+0yqF6AEF7nJQe3keMhA&#10;15X+71//AlBLAwQUAAAACACHTuJAe+EA0KsCAABHBQAADgAAAGRycy9lMm9Eb2MueG1srVTNbhMx&#10;EL4j8Q6W73STJWlL1E0VJQpCqmikgjg7Xm/Wkv8YO9mUE5wQ4sAD8ALcOHGFpyk/b8HYu23TlkMP&#10;XHZnPP/f/Bwdb7UiGwFeWlPQ/l6PEmG4LaVZFfTli/mjQ0p8YKZkyhpR0HPh6fH44YOjxo1Ebmur&#10;SgEEnRg/alxB6xDcKMs8r4Vmfs86YVBYWdAsIAurrATWoHetsrzX288aC6UDy4X3+DprhbTzCPdx&#10;aKtKcjGzfK2FCa1XEIoFLMnX0nk6TtlWleDhtKq8CEQVFCsN6YtBkF7GbzY+YqMVMFdL3qXA7pPC&#10;rZo0kwaDXrmascDIGuQdV1pysN5WYY9bnbWFJESwin7vFjZnNXMi1YJQe3cFuv9/bvnzzQKILAu6&#10;j5AYprHjP7+9+/Xl48Xn7yNy8enrn7cffv94jw+k/zjC1Tg/Qqszt4CO80jG2rcV6PjHqsg2QXx+&#10;BbHYBsLx8XB/0OthJI6iYSRTC7JrYwc+PBVWk0gUtFK2mdYMwkQFAYYFsWhHJ6HNNic+YBZof2kX&#10;E/BWyXIulUoMrJZTBWTDcAQGg4N8OohloMkNNWVIg+uQH6TsGA52hQOFiWqH4HizooSpFW4MD5Bi&#10;37D2u0Hy+TA/nLdKNStFG3q4U2ynfjeLWMWM+bo1SSHaEdUSyydKaoQwOrqETRl0ElvSNiFSYbvc&#10;dp1Z2vIc2wu2nXvv+FxihBPmw4IBDjp2Ak9BOMVPRLqgtqMoqS28+dd71Mf5QyklDS4OgvN6zUBQ&#10;op4ZnMwn/cEA3YbEDIYHOTKwK1nuSsxaTy02po9Hx/FERv2gLskKrH6FF2MSo6KIGY6x2zZ0zDS0&#10;C403h4vJJKnhdjkWTsyZ49F5HARjJ+tgK5kGJgLVotPhh/uV2tHdgrjAu3zSur5/4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ZiBdH1QAAAAcBAAAPAAAAAAAAAAEAIAAAACIAAABkcnMvZG93bnJl&#10;di54bWxQSwECFAAUAAAACACHTuJAe+EA0KsCAABHBQAADgAAAAAAAAABACAAAAAkAQAAZHJzL2Uy&#10;b0RvYy54bWxQSwUGAAAAAAYABgBZAQAAQQYAAAAA&#10;">
                <v:fill on="t" focussize="0,0"/>
                <v:stroke weight="1pt" color="#2F528F [3204]" miterlimit="8" joinstyle="miter"/>
                <v:imagedata o:title=""/>
                <o:lock v:ext="edit" aspectratio="f"/>
                <v:textbox>
                  <w:txbxContent>
                    <w:p>
                      <w:pPr>
                        <w:jc w:val="center"/>
                        <w:rPr>
                          <w:rFonts w:ascii="宋体" w:hAnsi="宋体" w:eastAsia="宋体"/>
                          <w:b/>
                          <w:bCs/>
                          <w:sz w:val="24"/>
                          <w:szCs w:val="24"/>
                        </w:rPr>
                      </w:pPr>
                      <w:r>
                        <w:rPr>
                          <w:rFonts w:hint="eastAsia" w:ascii="宋体" w:hAnsi="宋体" w:eastAsia="宋体"/>
                          <w:b/>
                          <w:bCs/>
                          <w:sz w:val="24"/>
                          <w:szCs w:val="24"/>
                        </w:rPr>
                        <w:t>名义客户</w:t>
                      </w:r>
                    </w:p>
                  </w:txbxContent>
                </v:textbox>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200660</wp:posOffset>
                </wp:positionV>
                <wp:extent cx="3060065" cy="0"/>
                <wp:effectExtent l="38100" t="76200" r="26670" b="95250"/>
                <wp:wrapNone/>
                <wp:docPr id="47" name="Straight Arrow Connector 47"/>
                <wp:cNvGraphicFramePr/>
                <a:graphic xmlns:a="http://schemas.openxmlformats.org/drawingml/2006/main">
                  <a:graphicData uri="http://schemas.microsoft.com/office/word/2010/wordprocessingShape">
                    <wps:wsp>
                      <wps:cNvCnPr/>
                      <wps:spPr>
                        <a:xfrm>
                          <a:off x="0" y="0"/>
                          <a:ext cx="3060000" cy="0"/>
                        </a:xfrm>
                        <a:prstGeom prst="straightConnector1">
                          <a:avLst/>
                        </a:prstGeom>
                        <a:ln w="12700">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o:spt="32" type="#_x0000_t32" style="position:absolute;left:0pt;margin-left:90pt;margin-top:15.8pt;height:0pt;width:240.95pt;z-index:251665408;mso-width-relative:page;mso-height-relative:page;" filled="f" stroked="t" coordsize="21600,21600" o:gfxdata="UEsDBAoAAAAAAIdO4kAAAAAAAAAAAAAAAAAEAAAAZHJzL1BLAwQUAAAACACHTuJAbBiGmtcAAAAJ&#10;AQAADwAAAGRycy9kb3ducmV2LnhtbE2PS0/DMBCE70j8B2uRuFE7rWS1IU7FQz0g9UIBwdGNlyTC&#10;Xkex08e/ZxEHOM7saPaban0KXhxwTH0kA8VMgUBqouupNfD6srlZgkjZkrM+Eho4Y4J1fXlR2dLF&#10;Iz3jYZdbwSWUSmugy3kopUxNh8GmWRyQ+PYZx2Azy7GVbrRHLg9ezpXSMtie+ENnB3zosPnaTcHA&#10;ajt9zBd3T+f3+5g2Xhfp7TFujbm+KtQtiIyn/BeGH3xGh5qZ9nEil4RnvVS8JRtYFBoEB7QuViD2&#10;v4asK/l/Qf0NUEsDBBQAAAAIAIdO4kDzFrjS9gEAAAIEAAAOAAAAZHJzL2Uyb0RvYy54bWytU8tu&#10;2zAQvBfoPxC815JdIw4My0FhN70UbYC0H7CmKIkAX9hlLPvvu6Qcp017yKE6SHztzM5ouLk7OSuO&#10;GskE38j5rJZCexVa4/tG/vxx/+FWCkrgW7DB60aeNcm77ft3mzGu9SIMwbYaBYN4Wo+xkUNKcV1V&#10;pAbtgGYhas+bXUAHiafYVy3CyOjOVou6vqnGgG3EoDQRr+6nTXlBxLcAhq4zSu+DenLapwkVtYXE&#10;kmgwkeS2dNt1WqXvXUc6CdtIVprKm0l4fMjvaruBdY8QB6MuLcBbWnilyYHxTHqF2kMC8YTmLyhn&#10;FAYKXZqp4KpJSHGEVczrV948DhB10cJWU7yaTv8PVn07PqAwbSOXKyk8OP7jjwnB9EMSnxDDKHbB&#10;e/YxoOAj7NcYac1lO/+AlxnFB8ziTx26/GVZ4lQ8Pl891qckFC9+rG9qfqRQz3vVS2FESl90cCIP&#10;GkmXRq4dzIvHcPxKiam58Lkgs/pwb6wtP9R6MXK2F6tCBJzSjtPBnC6yUvK9FGB7jr9KWCApWNPm&#10;8gxE2B92FsURODTL5WqxW2bdTPfHscy9Bxqmcy2PpjQ5k/iCWOMaeZulXkI2aGg/+1akc2SPExrw&#10;vdVTSQJj/73HpNYzdzZ9sjmPDqE9F/fLOkejdHeJcc7e7/NS/XJ1t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BiGmtcAAAAJAQAADwAAAAAAAAABACAAAAAiAAAAZHJzL2Rvd25yZXYueG1sUEsB&#10;AhQAFAAAAAgAh07iQPMWuNL2AQAAAgQAAA4AAAAAAAAAAQAgAAAAJgEAAGRycy9lMm9Eb2MueG1s&#10;UEsFBgAAAAAGAAYAWQEAAI4FAAAAAA==&#10;">
                <v:fill on="f" focussize="0,0"/>
                <v:stroke weight="1pt" color="#4472C4 [3204]" miterlimit="8" joinstyle="miter" dashstyle="dash" startarrow="block" endarrow="block"/>
                <v:imagedata o:title=""/>
                <o:lock v:ext="edit" aspectratio="f"/>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63500</wp:posOffset>
                </wp:positionV>
                <wp:extent cx="5143500" cy="469900"/>
                <wp:effectExtent l="0" t="0" r="0" b="0"/>
                <wp:wrapNone/>
                <wp:docPr id="38" name="Rectangle 38"/>
                <wp:cNvGraphicFramePr/>
                <a:graphic xmlns:a="http://schemas.openxmlformats.org/drawingml/2006/main">
                  <a:graphicData uri="http://schemas.microsoft.com/office/word/2010/wordprocessingShape">
                    <wps:wsp>
                      <wps:cNvSpPr/>
                      <wps:spPr>
                        <a:xfrm>
                          <a:off x="0" y="0"/>
                          <a:ext cx="5143500" cy="469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伪造重要业务单据</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（银行回款单据、银行对账单、产品发货单、客户收货确认单、安装调试确认单）</w:t>
                            </w:r>
                          </w:p>
                          <w:p>
                            <w:pPr>
                              <w:jc w:val="center"/>
                              <w:rPr>
                                <w:rFonts w:ascii="宋体" w:hAnsi="宋体" w:eastAsia="宋体"/>
                                <w:color w:val="000000" w:themeColor="text1"/>
                                <w:szCs w:val="2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8" o:spid="_x0000_s1026" o:spt="1" style="position:absolute;left:0pt;margin-left:3.5pt;margin-top:5pt;height:37pt;width:405pt;z-index:251663360;v-text-anchor:middle;mso-width-relative:page;mso-height-relative:page;" filled="f" stroked="f" coordsize="21600,21600" o:gfxdata="UEsDBAoAAAAAAIdO4kAAAAAAAAAAAAAAAAAEAAAAZHJzL1BLAwQUAAAACACHTuJAm3QlDdMAAAAH&#10;AQAADwAAAGRycy9kb3ducmV2LnhtbE2PQUvEMBCF74L/IYzgzU0qoqU2XVAQkT2Iq97TZLYtNpOS&#10;pO3uv3f2pKeZeW948029PfpRLBjTEEhDsVEgkGxwA3Uavj5fbkoQKRtyZgyEGk6YYNtcXtSmcmGl&#10;D1z2uRMcQqkyGvqcp0rKZHv0Jm3ChMTeIURvMo+xky6alcP9KG+VupfeDMQXejPhc4/2Zz97Dd/h&#10;8LR629Lbcnof5tddtLbcaX19VahHEBmP+W8ZzviMDg0ztWEml8So4YE/ySwrrmyXxVloublTIJta&#10;/udvfgFQSwMEFAAAAAgAh07iQKoqEalUAgAAsgQAAA4AAABkcnMvZTJvRG9jLnhtbK1UTW8aMRC9&#10;V+p/sHxvFgj5QiwRCqKqFDWoadWz8dqsJX/VNizpr++zd5OgtIccymGZ8cy+mXl+s/Pbo9HkIEJU&#10;ztZ0fDaiRFjuGmV3Nf3xff3pmpKYmG2YdlbU9ElEerv4+GHe+ZmYuNbpRgQCEBtnna9pm5KfVVXk&#10;rTAsnjkvLILSBcMS3LCrmsA6oBtdTUajy6pzofHBcREjTld9kA6I4T2ATkrFxcrxvRE29ahBaJYw&#10;UmyVj3RRupVS8PQgZRSJ6Jpi0lSeKAJ7m5/VYs5mu8B8q/jQAntPC29mMkxZFH2BWrHEyD6ov6CM&#10;4sFFJ9MZd6bqBymMYIrx6A03jy3zoswCqqN/IT3+P1j+9bAJRDU1Pce9W2Zw49/AGrM7LQjOQFDn&#10;4wx5j34TBi/CzNMeZTD5H3OQYyH16YVUcUyE4/BiPD2/GIFvjtj08uYGNmCq17d9iOmzcIZko6YB&#10;5QuX7HAfU5/6nJKLWbdWWuOczbQlHTQ8uSr4DGqUUAFKGY+Jot1RwvQOMucpFMiTdzPkisWWHBi0&#10;EZ1WTa8GoxIErpWp6fUo/4Z2tUXXmYt++myl4/Y4ULJ1zROYDK6XWPR8rVDhnsW0YQGaAgPYuvSA&#10;h9QObbvBoqR14fe/znM+rhpRSjpoFG3+2rMgKNFfLERwM55Os6iLM724msAJp5HtacTuzZ3DqGPs&#10;t+fFzPlJP5syOPMTy7nMVRFilqN2T97g3KV+d7DeXCyXJQ1C9izd20fPM3h/Rct9clKV28tE9ewM&#10;/EHK5f6Htcu7cuqXrNdPze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3QlDdMAAAAHAQAADwAA&#10;AAAAAAABACAAAAAiAAAAZHJzL2Rvd25yZXYueG1sUEsBAhQAFAAAAAgAh07iQKoqEalUAgAAsgQA&#10;AA4AAAAAAAAAAQAgAAAAIgEAAGRycy9lMm9Eb2MueG1sUEsFBgAAAAAGAAYAWQEAAOgFAA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伪造重要业务单据</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（银行回款单据、银行对账单、产品发货单、客户收货确认单、安装调试确认单）</w:t>
                      </w:r>
                    </w:p>
                    <w:p>
                      <w:pPr>
                        <w:jc w:val="center"/>
                        <w:rPr>
                          <w:rFonts w:ascii="宋体" w:hAnsi="宋体" w:eastAsia="宋体"/>
                          <w:color w:val="000000" w:themeColor="text1"/>
                          <w:szCs w:val="21"/>
                          <w14:textFill>
                            <w14:solidFill>
                              <w14:schemeClr w14:val="tx1"/>
                            </w14:solidFill>
                          </w14:textFill>
                        </w:rPr>
                      </w:pPr>
                    </w:p>
                  </w:txbxContent>
                </v:textbox>
              </v:rect>
            </w:pict>
          </mc:Fallback>
        </mc:AlternateConten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千山药机于</w:t>
      </w:r>
      <w:r>
        <w:rPr>
          <w:rFonts w:ascii="宋体" w:hAnsi="宋体" w:eastAsia="宋体"/>
          <w:sz w:val="24"/>
          <w:szCs w:val="24"/>
        </w:rPr>
        <w:t>2015年</w:t>
      </w:r>
      <w:r>
        <w:rPr>
          <w:rFonts w:hint="eastAsia" w:ascii="宋体" w:hAnsi="宋体" w:eastAsia="宋体"/>
          <w:sz w:val="24"/>
          <w:szCs w:val="24"/>
        </w:rPr>
        <w:t>虚假确认与浏阳市华冠出口花炮有限公司（以下简称华冠花炮</w:t>
      </w:r>
      <w:r>
        <w:rPr>
          <w:rFonts w:ascii="宋体" w:hAnsi="宋体" w:eastAsia="宋体"/>
          <w:sz w:val="24"/>
          <w:szCs w:val="24"/>
        </w:rPr>
        <w:t>）的设备销售收入</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2014年12月9日，千山药机与华冠花炮签订烟花生产线合同，销售数量10条，</w:t>
      </w:r>
      <w:r>
        <w:rPr>
          <w:rFonts w:hint="eastAsia" w:ascii="宋体" w:hAnsi="宋体" w:eastAsia="宋体"/>
          <w:sz w:val="24"/>
          <w:szCs w:val="24"/>
        </w:rPr>
        <w:t>含税</w:t>
      </w:r>
      <w:r>
        <w:rPr>
          <w:rFonts w:ascii="宋体" w:hAnsi="宋体" w:eastAsia="宋体"/>
          <w:sz w:val="24"/>
          <w:szCs w:val="24"/>
        </w:rPr>
        <w:t>销售金额10,500.00万元。千山药机2015年年报及相关账务记录显示</w:t>
      </w:r>
      <w:r>
        <w:rPr>
          <w:rFonts w:hint="eastAsia" w:ascii="宋体" w:hAnsi="宋体" w:eastAsia="宋体"/>
          <w:sz w:val="24"/>
          <w:szCs w:val="24"/>
        </w:rPr>
        <w:t>，其于</w:t>
      </w:r>
      <w:r>
        <w:rPr>
          <w:rFonts w:ascii="宋体" w:hAnsi="宋体" w:eastAsia="宋体"/>
          <w:sz w:val="24"/>
          <w:szCs w:val="24"/>
        </w:rPr>
        <w:t>2015年完成10条烟花生产线的生产交付和调试安装，收到销售回款7,883.10万元，确认收入8,974.36万元</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②经调查，截至</w:t>
      </w:r>
      <w:r>
        <w:rPr>
          <w:rFonts w:ascii="宋体" w:hAnsi="宋体" w:eastAsia="宋体"/>
          <w:sz w:val="24"/>
          <w:szCs w:val="24"/>
        </w:rPr>
        <w:t>2015年</w:t>
      </w:r>
      <w:r>
        <w:rPr>
          <w:rFonts w:hint="eastAsia" w:ascii="宋体" w:hAnsi="宋体" w:eastAsia="宋体"/>
          <w:sz w:val="24"/>
          <w:szCs w:val="24"/>
        </w:rPr>
        <w:t>末，华冠花炮仍</w:t>
      </w:r>
      <w:r>
        <w:rPr>
          <w:rFonts w:ascii="宋体" w:hAnsi="宋体" w:eastAsia="宋体"/>
          <w:sz w:val="24"/>
          <w:szCs w:val="24"/>
        </w:rPr>
        <w:t>未取得安全监管部门核准的生产许可证，也未完成相关烟花生产线的厂房建设</w:t>
      </w:r>
      <w:r>
        <w:rPr>
          <w:rFonts w:hint="eastAsia" w:ascii="宋体" w:hAnsi="宋体" w:eastAsia="宋体"/>
          <w:sz w:val="24"/>
          <w:szCs w:val="24"/>
        </w:rPr>
        <w:t>。千山药机实际上未</w:t>
      </w:r>
      <w:r>
        <w:rPr>
          <w:rFonts w:ascii="宋体" w:hAnsi="宋体" w:eastAsia="宋体"/>
          <w:sz w:val="24"/>
          <w:szCs w:val="24"/>
        </w:rPr>
        <w:t>向华冠花炮交付烟花生产线</w:t>
      </w:r>
      <w:r>
        <w:rPr>
          <w:rFonts w:hint="eastAsia" w:ascii="宋体" w:hAnsi="宋体" w:eastAsia="宋体"/>
          <w:sz w:val="24"/>
          <w:szCs w:val="24"/>
        </w:rPr>
        <w:t>，而</w:t>
      </w:r>
      <w:r>
        <w:rPr>
          <w:rFonts w:ascii="宋体" w:hAnsi="宋体" w:eastAsia="宋体"/>
          <w:sz w:val="24"/>
          <w:szCs w:val="24"/>
        </w:rPr>
        <w:t>华冠花炮</w:t>
      </w:r>
      <w:r>
        <w:rPr>
          <w:rFonts w:hint="eastAsia" w:ascii="宋体" w:hAnsi="宋体" w:eastAsia="宋体"/>
          <w:sz w:val="24"/>
          <w:szCs w:val="24"/>
        </w:rPr>
        <w:t>在</w:t>
      </w:r>
      <w:r>
        <w:rPr>
          <w:rFonts w:ascii="宋体" w:hAnsi="宋体" w:eastAsia="宋体"/>
          <w:sz w:val="24"/>
          <w:szCs w:val="24"/>
        </w:rPr>
        <w:t>2015年</w:t>
      </w:r>
      <w:r>
        <w:rPr>
          <w:rFonts w:hint="eastAsia" w:ascii="宋体" w:hAnsi="宋体" w:eastAsia="宋体"/>
          <w:sz w:val="24"/>
          <w:szCs w:val="24"/>
        </w:rPr>
        <w:t>也</w:t>
      </w:r>
      <w:r>
        <w:rPr>
          <w:rFonts w:ascii="宋体" w:hAnsi="宋体" w:eastAsia="宋体"/>
          <w:sz w:val="24"/>
          <w:szCs w:val="24"/>
        </w:rPr>
        <w:t>没有向千山药机转入任何资金</w:t>
      </w:r>
      <w:r>
        <w:rPr>
          <w:rFonts w:hint="eastAsia" w:ascii="宋体" w:hAnsi="宋体" w:eastAsia="宋体"/>
          <w:sz w:val="24"/>
          <w:szCs w:val="24"/>
        </w:rPr>
        <w:t>，前述烟花生产线销售回款系由千山药机通过伪造银行单据而虚构。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千山药机于</w:t>
      </w:r>
      <w:r>
        <w:rPr>
          <w:rFonts w:ascii="宋体" w:hAnsi="宋体" w:eastAsia="宋体"/>
          <w:sz w:val="24"/>
          <w:szCs w:val="24"/>
        </w:rPr>
        <w:t>2016年</w:t>
      </w:r>
      <w:r>
        <w:rPr>
          <w:rFonts w:hint="eastAsia" w:ascii="宋体" w:hAnsi="宋体" w:eastAsia="宋体"/>
          <w:sz w:val="24"/>
          <w:szCs w:val="24"/>
        </w:rPr>
        <w:t>虚假确认与华冠花炮的设备销售收入。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2016年3月9日和8月8日，千山药机再次与华冠花炮签订两份烟花生产线合同，销售数量分别为20条和5条，合同金额分别为21,000万元和5,250万元。千山药机2016年年报及相关账务记录显示，</w:t>
      </w:r>
      <w:r>
        <w:rPr>
          <w:rFonts w:hint="eastAsia" w:ascii="宋体" w:hAnsi="宋体" w:eastAsia="宋体"/>
          <w:sz w:val="24"/>
          <w:szCs w:val="24"/>
        </w:rPr>
        <w:t>其于</w:t>
      </w:r>
      <w:r>
        <w:rPr>
          <w:rFonts w:ascii="宋体" w:hAnsi="宋体" w:eastAsia="宋体"/>
          <w:sz w:val="24"/>
          <w:szCs w:val="24"/>
        </w:rPr>
        <w:t>2016年完成25条烟花生产线的生产交付和调试安装，并确认收入22,435.90万元，收到销售回款5,160.15万元（其中银行承兑汇票2,796.05万元）</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②经调查，截至</w:t>
      </w:r>
      <w:r>
        <w:rPr>
          <w:rFonts w:ascii="宋体" w:hAnsi="宋体" w:eastAsia="宋体"/>
          <w:sz w:val="24"/>
          <w:szCs w:val="24"/>
        </w:rPr>
        <w:t>2016年</w:t>
      </w:r>
      <w:r>
        <w:rPr>
          <w:rFonts w:hint="eastAsia" w:ascii="宋体" w:hAnsi="宋体" w:eastAsia="宋体"/>
          <w:sz w:val="24"/>
          <w:szCs w:val="24"/>
        </w:rPr>
        <w:t>末，华冠花炮仍</w:t>
      </w:r>
      <w:r>
        <w:rPr>
          <w:rFonts w:ascii="宋体" w:hAnsi="宋体" w:eastAsia="宋体"/>
          <w:sz w:val="24"/>
          <w:szCs w:val="24"/>
        </w:rPr>
        <w:t>未取得安全监管部门核准的生产许可证</w:t>
      </w:r>
      <w:r>
        <w:rPr>
          <w:rFonts w:hint="eastAsia" w:ascii="宋体" w:hAnsi="宋体" w:eastAsia="宋体"/>
          <w:sz w:val="24"/>
          <w:szCs w:val="24"/>
        </w:rPr>
        <w:t>。千山药机实际上未</w:t>
      </w:r>
      <w:r>
        <w:rPr>
          <w:rFonts w:ascii="宋体" w:hAnsi="宋体" w:eastAsia="宋体"/>
          <w:sz w:val="24"/>
          <w:szCs w:val="24"/>
        </w:rPr>
        <w:t>向华冠花炮交付烟花生产线</w:t>
      </w:r>
      <w:r>
        <w:rPr>
          <w:rFonts w:hint="eastAsia" w:ascii="宋体" w:hAnsi="宋体" w:eastAsia="宋体"/>
          <w:sz w:val="24"/>
          <w:szCs w:val="24"/>
        </w:rPr>
        <w:t>，而</w:t>
      </w:r>
      <w:r>
        <w:rPr>
          <w:rFonts w:ascii="宋体" w:hAnsi="宋体" w:eastAsia="宋体"/>
          <w:sz w:val="24"/>
          <w:szCs w:val="24"/>
        </w:rPr>
        <w:t>华冠花炮</w:t>
      </w:r>
      <w:r>
        <w:rPr>
          <w:rFonts w:hint="eastAsia" w:ascii="宋体" w:hAnsi="宋体" w:eastAsia="宋体"/>
          <w:sz w:val="24"/>
          <w:szCs w:val="24"/>
        </w:rPr>
        <w:t>也</w:t>
      </w:r>
      <w:r>
        <w:rPr>
          <w:rFonts w:ascii="宋体" w:hAnsi="宋体" w:eastAsia="宋体"/>
          <w:sz w:val="24"/>
          <w:szCs w:val="24"/>
        </w:rPr>
        <w:t>没有向千山药机转入任何资金</w:t>
      </w:r>
      <w:r>
        <w:rPr>
          <w:rFonts w:hint="eastAsia" w:ascii="宋体" w:hAnsi="宋体" w:eastAsia="宋体"/>
          <w:sz w:val="24"/>
          <w:szCs w:val="24"/>
        </w:rPr>
        <w:t>，前述烟花生产线销售回款系由千山药机通过伪造银行单据而虚构。</w:t>
      </w:r>
    </w:p>
    <w:p>
      <w:pPr>
        <w:spacing w:line="360" w:lineRule="auto"/>
        <w:ind w:firstLine="490"/>
        <w:rPr>
          <w:rFonts w:ascii="宋体" w:hAnsi="宋体" w:eastAsia="宋体"/>
          <w:sz w:val="24"/>
          <w:szCs w:val="24"/>
        </w:rPr>
      </w:pPr>
      <w:r>
        <w:rPr>
          <w:rFonts w:hint="eastAsia" w:ascii="宋体" w:hAnsi="宋体" w:eastAsia="宋体"/>
          <w:sz w:val="24"/>
          <w:szCs w:val="24"/>
        </w:rPr>
        <w:t>根据中国证监会行政处罚决定书〔</w:t>
      </w:r>
      <w:r>
        <w:rPr>
          <w:rFonts w:ascii="宋体" w:hAnsi="宋体" w:eastAsia="宋体"/>
          <w:sz w:val="24"/>
          <w:szCs w:val="24"/>
        </w:rPr>
        <w:t>2021〕</w:t>
      </w:r>
      <w:r>
        <w:rPr>
          <w:rFonts w:hint="eastAsia" w:ascii="宋体" w:hAnsi="宋体" w:eastAsia="宋体"/>
          <w:sz w:val="24"/>
          <w:szCs w:val="24"/>
        </w:rPr>
        <w:t>21</w:t>
      </w:r>
      <w:r>
        <w:rPr>
          <w:rFonts w:ascii="宋体" w:hAnsi="宋体" w:eastAsia="宋体"/>
          <w:sz w:val="24"/>
          <w:szCs w:val="24"/>
        </w:rPr>
        <w:t>号</w:t>
      </w:r>
      <w:r>
        <w:rPr>
          <w:rFonts w:hint="eastAsia" w:ascii="宋体" w:hAnsi="宋体" w:eastAsia="宋体"/>
          <w:sz w:val="24"/>
          <w:szCs w:val="24"/>
        </w:rPr>
        <w:t>，A会计师事务所（特殊普通合伙）（以下简称A事务所）</w:t>
      </w:r>
      <w:r>
        <w:rPr>
          <w:rFonts w:ascii="宋体" w:hAnsi="宋体" w:eastAsia="宋体"/>
          <w:sz w:val="24"/>
          <w:szCs w:val="24"/>
        </w:rPr>
        <w:t>为千山药机2015年、2016年</w:t>
      </w:r>
      <w:r>
        <w:rPr>
          <w:rFonts w:hint="eastAsia" w:ascii="宋体" w:hAnsi="宋体" w:eastAsia="宋体"/>
          <w:sz w:val="24"/>
          <w:szCs w:val="24"/>
        </w:rPr>
        <w:t>财务报表进行</w:t>
      </w:r>
      <w:r>
        <w:rPr>
          <w:rFonts w:ascii="宋体" w:hAnsi="宋体" w:eastAsia="宋体"/>
          <w:sz w:val="24"/>
          <w:szCs w:val="24"/>
        </w:rPr>
        <w:t>审计，</w:t>
      </w:r>
      <w:r>
        <w:rPr>
          <w:rFonts w:hint="eastAsia" w:ascii="宋体" w:hAnsi="宋体" w:eastAsia="宋体"/>
          <w:sz w:val="24"/>
          <w:szCs w:val="24"/>
        </w:rPr>
        <w:t>但未能发现上述收入舞弊情况</w:t>
      </w:r>
      <w:r>
        <w:rPr>
          <w:rFonts w:ascii="宋体" w:hAnsi="宋体" w:eastAsia="宋体"/>
          <w:sz w:val="24"/>
          <w:szCs w:val="24"/>
        </w:rPr>
        <w:t>。</w:t>
      </w:r>
    </w:p>
    <w:p>
      <w:pPr>
        <w:spacing w:line="360" w:lineRule="auto"/>
        <w:ind w:firstLine="504"/>
        <w:rPr>
          <w:rFonts w:ascii="宋体" w:hAnsi="宋体" w:eastAsia="宋体"/>
          <w:sz w:val="24"/>
          <w:szCs w:val="24"/>
        </w:rPr>
      </w:pPr>
      <w:r>
        <w:rPr>
          <w:rFonts w:hint="eastAsia" w:ascii="宋体" w:hAnsi="宋体" w:eastAsia="宋体"/>
          <w:sz w:val="24"/>
          <w:szCs w:val="24"/>
        </w:rPr>
        <w:t>对前述千山药机的收入舞弊，A事务所未能设计与执行充分而恰当的审计程序，最终发表不恰当的审计意见，分析如下：</w:t>
      </w:r>
    </w:p>
    <w:p>
      <w:pPr>
        <w:spacing w:line="360" w:lineRule="auto"/>
        <w:ind w:firstLine="504"/>
        <w:rPr>
          <w:rFonts w:ascii="宋体" w:hAnsi="宋体" w:eastAsia="宋体"/>
          <w:sz w:val="24"/>
          <w:szCs w:val="24"/>
        </w:rPr>
      </w:pPr>
      <w:r>
        <w:rPr>
          <w:rFonts w:hint="eastAsia" w:ascii="宋体" w:hAnsi="宋体" w:eastAsia="宋体"/>
          <w:sz w:val="24"/>
          <w:szCs w:val="24"/>
        </w:rPr>
        <w:t>在对千山药机</w:t>
      </w:r>
      <w:r>
        <w:rPr>
          <w:rFonts w:ascii="宋体" w:hAnsi="宋体" w:eastAsia="宋体"/>
          <w:sz w:val="24"/>
          <w:szCs w:val="24"/>
        </w:rPr>
        <w:t>2015年度、2016年度财务报表审计过程中</w:t>
      </w:r>
      <w:r>
        <w:rPr>
          <w:rFonts w:hint="eastAsia" w:ascii="宋体" w:hAnsi="宋体" w:eastAsia="宋体"/>
          <w:sz w:val="24"/>
          <w:szCs w:val="24"/>
        </w:rPr>
        <w:t>，A事务所虽</w:t>
      </w:r>
      <w:r>
        <w:rPr>
          <w:rFonts w:ascii="宋体" w:hAnsi="宋体" w:eastAsia="宋体"/>
          <w:sz w:val="24"/>
          <w:szCs w:val="24"/>
        </w:rPr>
        <w:t>将收入列为高风险</w:t>
      </w:r>
      <w:r>
        <w:rPr>
          <w:rFonts w:hint="eastAsia" w:ascii="宋体" w:hAnsi="宋体" w:eastAsia="宋体"/>
          <w:sz w:val="24"/>
          <w:szCs w:val="24"/>
        </w:rPr>
        <w:t>重大账户，但未对大额收入的异常情况保持应有的职业谨慎，未获取到充分、适当的审计证据，形成合理的审计结论，具体如下：</w:t>
      </w:r>
    </w:p>
    <w:p>
      <w:pPr>
        <w:spacing w:line="360" w:lineRule="auto"/>
        <w:ind w:firstLine="480" w:firstLineChars="200"/>
        <w:rPr>
          <w:rFonts w:ascii="宋体" w:hAnsi="宋体" w:eastAsia="宋体"/>
          <w:sz w:val="24"/>
          <w:szCs w:val="24"/>
        </w:rPr>
      </w:pPr>
      <w:r>
        <w:rPr>
          <w:rFonts w:ascii="宋体" w:hAnsi="宋体" w:eastAsia="宋体"/>
          <w:sz w:val="24"/>
          <w:szCs w:val="24"/>
        </w:rPr>
        <w:t>(1)A</w:t>
      </w:r>
      <w:r>
        <w:rPr>
          <w:rFonts w:hint="eastAsia" w:ascii="宋体" w:hAnsi="宋体" w:eastAsia="宋体"/>
          <w:sz w:val="24"/>
          <w:szCs w:val="24"/>
        </w:rPr>
        <w:t>事务所对华冠花炮烟花生产线异常发货情况关注不足，未实施进一步检查程序，以证实所留意到异常发货情况的真实性与合理性。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A事务所2015年发现华冠花炮收货确认单与千山药机实际发货数量不符，</w:t>
      </w:r>
      <w:r>
        <w:rPr>
          <w:rFonts w:hint="eastAsia" w:ascii="宋体" w:hAnsi="宋体" w:eastAsia="宋体"/>
          <w:sz w:val="24"/>
          <w:szCs w:val="24"/>
        </w:rPr>
        <w:t>且</w:t>
      </w:r>
      <w:r>
        <w:rPr>
          <w:rFonts w:ascii="宋体" w:hAnsi="宋体" w:eastAsia="宋体"/>
          <w:sz w:val="24"/>
          <w:szCs w:val="24"/>
        </w:rPr>
        <w:t>千山药机与华冠花炮所签订“补充协议”中称“由于华冠花炮的厂房设施未完成，暂时将交付的设备存放在其指定地点”</w:t>
      </w:r>
      <w:r>
        <w:rPr>
          <w:rFonts w:hint="eastAsia" w:ascii="宋体" w:hAnsi="宋体" w:eastAsia="宋体"/>
          <w:sz w:val="24"/>
          <w:szCs w:val="24"/>
        </w:rPr>
        <w:t>，</w:t>
      </w:r>
      <w:r>
        <w:rPr>
          <w:rFonts w:ascii="宋体" w:hAnsi="宋体" w:eastAsia="宋体"/>
          <w:sz w:val="24"/>
          <w:szCs w:val="24"/>
        </w:rPr>
        <w:t>未对异常发货</w:t>
      </w:r>
      <w:r>
        <w:rPr>
          <w:rFonts w:hint="eastAsia" w:ascii="宋体" w:hAnsi="宋体" w:eastAsia="宋体"/>
          <w:sz w:val="24"/>
          <w:szCs w:val="24"/>
        </w:rPr>
        <w:t>情况</w:t>
      </w:r>
      <w:r>
        <w:rPr>
          <w:rFonts w:ascii="宋体" w:hAnsi="宋体" w:eastAsia="宋体"/>
          <w:sz w:val="24"/>
          <w:szCs w:val="24"/>
        </w:rPr>
        <w:t>采取进一步审计程序</w:t>
      </w:r>
      <w:r>
        <w:rPr>
          <w:rFonts w:hint="eastAsia" w:ascii="宋体" w:hAnsi="宋体" w:eastAsia="宋体"/>
          <w:sz w:val="24"/>
          <w:szCs w:val="24"/>
        </w:rPr>
        <w:t>，</w:t>
      </w:r>
      <w:r>
        <w:rPr>
          <w:rFonts w:ascii="宋体" w:hAnsi="宋体" w:eastAsia="宋体"/>
          <w:sz w:val="24"/>
          <w:szCs w:val="24"/>
        </w:rPr>
        <w:t>未对暂存在千山药机指定地点处的烟花生产线予以</w:t>
      </w:r>
      <w:r>
        <w:rPr>
          <w:rFonts w:hint="eastAsia" w:ascii="宋体" w:hAnsi="宋体" w:eastAsia="宋体"/>
          <w:sz w:val="24"/>
          <w:szCs w:val="24"/>
        </w:rPr>
        <w:t>实地监</w:t>
      </w:r>
      <w:r>
        <w:rPr>
          <w:rFonts w:ascii="宋体" w:hAnsi="宋体" w:eastAsia="宋体"/>
          <w:sz w:val="24"/>
          <w:szCs w:val="24"/>
        </w:rPr>
        <w:t>盘查证。</w:t>
      </w:r>
    </w:p>
    <w:p>
      <w:pPr>
        <w:spacing w:line="360" w:lineRule="auto"/>
        <w:ind w:firstLine="420"/>
        <w:rPr>
          <w:rFonts w:ascii="宋体" w:hAnsi="宋体" w:eastAsia="宋体"/>
          <w:sz w:val="24"/>
          <w:szCs w:val="24"/>
        </w:rPr>
      </w:pPr>
      <w:r>
        <w:rPr>
          <w:rFonts w:ascii="宋体" w:hAnsi="宋体" w:eastAsia="宋体"/>
          <w:sz w:val="24"/>
          <w:szCs w:val="24"/>
        </w:rPr>
        <w:t>A事务所2016年</w:t>
      </w:r>
      <w:r>
        <w:rPr>
          <w:rFonts w:hint="eastAsia" w:ascii="宋体" w:hAnsi="宋体" w:eastAsia="宋体"/>
          <w:sz w:val="24"/>
          <w:szCs w:val="24"/>
        </w:rPr>
        <w:t>对</w:t>
      </w:r>
      <w:r>
        <w:rPr>
          <w:rFonts w:ascii="宋体" w:hAnsi="宋体" w:eastAsia="宋体"/>
          <w:sz w:val="24"/>
          <w:szCs w:val="24"/>
        </w:rPr>
        <w:t>千山药机销售给华冠花炮已安装调试完毕的25条生产线</w:t>
      </w:r>
      <w:r>
        <w:rPr>
          <w:rFonts w:hint="eastAsia" w:ascii="宋体" w:hAnsi="宋体" w:eastAsia="宋体"/>
          <w:sz w:val="24"/>
          <w:szCs w:val="24"/>
        </w:rPr>
        <w:t>实施审计</w:t>
      </w:r>
      <w:r>
        <w:rPr>
          <w:rFonts w:ascii="宋体" w:hAnsi="宋体" w:eastAsia="宋体"/>
          <w:sz w:val="24"/>
          <w:szCs w:val="24"/>
        </w:rPr>
        <w:t>，审计人员在货物运输协议中备注“实际没发生”；安装调试确认单中华冠花炮及其负责人盖章、签字确认的时间均为2016年12月30日，与华冠花炮和千山药机签订“补充协议”的时间一致</w:t>
      </w:r>
      <w:r>
        <w:rPr>
          <w:rFonts w:hint="eastAsia" w:ascii="宋体" w:hAnsi="宋体" w:eastAsia="宋体"/>
          <w:sz w:val="24"/>
          <w:szCs w:val="24"/>
        </w:rPr>
        <w:t>；</w:t>
      </w:r>
      <w:r>
        <w:rPr>
          <w:rFonts w:ascii="宋体" w:hAnsi="宋体" w:eastAsia="宋体"/>
          <w:sz w:val="24"/>
          <w:szCs w:val="24"/>
        </w:rPr>
        <w:t>直至千山药机2016年度审计报告签发日，华冠花炮的厂房设施</w:t>
      </w:r>
      <w:r>
        <w:rPr>
          <w:rFonts w:hint="eastAsia" w:ascii="宋体" w:hAnsi="宋体" w:eastAsia="宋体"/>
          <w:sz w:val="24"/>
          <w:szCs w:val="24"/>
        </w:rPr>
        <w:t>仍</w:t>
      </w:r>
      <w:r>
        <w:rPr>
          <w:rFonts w:ascii="宋体" w:hAnsi="宋体" w:eastAsia="宋体"/>
          <w:sz w:val="24"/>
          <w:szCs w:val="24"/>
        </w:rPr>
        <w:t>未达到预</w:t>
      </w:r>
      <w:r>
        <w:rPr>
          <w:rFonts w:hint="eastAsia" w:ascii="宋体" w:hAnsi="宋体" w:eastAsia="宋体"/>
          <w:sz w:val="24"/>
          <w:szCs w:val="24"/>
        </w:rPr>
        <w:t>定</w:t>
      </w:r>
      <w:r>
        <w:rPr>
          <w:rFonts w:ascii="宋体" w:hAnsi="宋体" w:eastAsia="宋体"/>
          <w:sz w:val="24"/>
          <w:szCs w:val="24"/>
        </w:rPr>
        <w:t>可使用状态，相关设备仍保管在千山药机仓库。</w:t>
      </w:r>
      <w:r>
        <w:rPr>
          <w:rFonts w:hint="eastAsia" w:ascii="宋体" w:hAnsi="宋体" w:eastAsia="宋体"/>
          <w:sz w:val="24"/>
          <w:szCs w:val="24"/>
        </w:rPr>
        <w:t>对前述未实际发货，且千山药机按“</w:t>
      </w:r>
      <w:r>
        <w:rPr>
          <w:rFonts w:ascii="宋体" w:hAnsi="宋体" w:eastAsia="宋体"/>
          <w:sz w:val="24"/>
          <w:szCs w:val="24"/>
        </w:rPr>
        <w:t>补充协议</w:t>
      </w:r>
      <w:r>
        <w:rPr>
          <w:rFonts w:hint="eastAsia" w:ascii="宋体" w:hAnsi="宋体" w:eastAsia="宋体"/>
          <w:sz w:val="24"/>
          <w:szCs w:val="24"/>
        </w:rPr>
        <w:t>”替客户暂时保管已售产品的情况，</w:t>
      </w:r>
      <w:r>
        <w:rPr>
          <w:rFonts w:ascii="宋体" w:hAnsi="宋体" w:eastAsia="宋体"/>
          <w:sz w:val="24"/>
          <w:szCs w:val="24"/>
        </w:rPr>
        <w:t>A事务所未采取进一步审计程序</w:t>
      </w:r>
      <w:r>
        <w:rPr>
          <w:rFonts w:hint="eastAsia" w:ascii="宋体" w:hAnsi="宋体" w:eastAsia="宋体"/>
          <w:sz w:val="24"/>
          <w:szCs w:val="24"/>
        </w:rPr>
        <w:t>，未</w:t>
      </w:r>
      <w:r>
        <w:rPr>
          <w:rFonts w:ascii="宋体" w:hAnsi="宋体" w:eastAsia="宋体"/>
          <w:sz w:val="24"/>
          <w:szCs w:val="24"/>
        </w:rPr>
        <w:t>对</w:t>
      </w:r>
      <w:r>
        <w:rPr>
          <w:rFonts w:hint="eastAsia" w:ascii="宋体" w:hAnsi="宋体" w:eastAsia="宋体"/>
          <w:sz w:val="24"/>
          <w:szCs w:val="24"/>
        </w:rPr>
        <w:t>年末</w:t>
      </w:r>
      <w:r>
        <w:rPr>
          <w:rFonts w:ascii="宋体" w:hAnsi="宋体" w:eastAsia="宋体"/>
          <w:sz w:val="24"/>
          <w:szCs w:val="24"/>
        </w:rPr>
        <w:t>暂存在千山药机</w:t>
      </w:r>
      <w:r>
        <w:rPr>
          <w:rFonts w:hint="eastAsia" w:ascii="宋体" w:hAnsi="宋体" w:eastAsia="宋体"/>
          <w:sz w:val="24"/>
          <w:szCs w:val="24"/>
        </w:rPr>
        <w:t>仓库</w:t>
      </w:r>
      <w:r>
        <w:rPr>
          <w:rFonts w:ascii="宋体" w:hAnsi="宋体" w:eastAsia="宋体"/>
          <w:sz w:val="24"/>
          <w:szCs w:val="24"/>
        </w:rPr>
        <w:t>的烟花生产线予以</w:t>
      </w:r>
      <w:r>
        <w:rPr>
          <w:rFonts w:hint="eastAsia" w:ascii="宋体" w:hAnsi="宋体" w:eastAsia="宋体"/>
          <w:sz w:val="24"/>
          <w:szCs w:val="24"/>
        </w:rPr>
        <w:t>实地监</w:t>
      </w:r>
      <w:r>
        <w:rPr>
          <w:rFonts w:ascii="宋体" w:hAnsi="宋体" w:eastAsia="宋体"/>
          <w:sz w:val="24"/>
          <w:szCs w:val="24"/>
        </w:rPr>
        <w:t>盘查证</w:t>
      </w:r>
      <w:r>
        <w:rPr>
          <w:rFonts w:hint="eastAsia"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(2)A事务所</w:t>
      </w:r>
      <w:r>
        <w:rPr>
          <w:rFonts w:hint="eastAsia" w:ascii="宋体" w:hAnsi="宋体" w:eastAsia="宋体"/>
          <w:sz w:val="24"/>
          <w:szCs w:val="24"/>
        </w:rPr>
        <w:t>对</w:t>
      </w:r>
      <w:r>
        <w:rPr>
          <w:rFonts w:ascii="宋体" w:hAnsi="宋体" w:eastAsia="宋体"/>
          <w:sz w:val="24"/>
          <w:szCs w:val="24"/>
        </w:rPr>
        <w:t>千山药机</w:t>
      </w:r>
      <w:r>
        <w:rPr>
          <w:rFonts w:hint="eastAsia" w:ascii="宋体" w:hAnsi="宋体" w:eastAsia="宋体"/>
          <w:sz w:val="24"/>
          <w:szCs w:val="24"/>
        </w:rPr>
        <w:t>新增重大客户的履约能力关注不足，未能获取充分而恰当的审计证据。</w:t>
      </w:r>
    </w:p>
    <w:p>
      <w:pPr>
        <w:spacing w:line="360" w:lineRule="auto"/>
        <w:ind w:firstLine="480" w:firstLineChars="200"/>
        <w:rPr>
          <w:rFonts w:ascii="宋体" w:hAnsi="宋体" w:eastAsia="宋体"/>
          <w:sz w:val="24"/>
          <w:szCs w:val="24"/>
        </w:rPr>
      </w:pPr>
      <w:r>
        <w:rPr>
          <w:rFonts w:ascii="宋体" w:hAnsi="宋体" w:eastAsia="宋体"/>
          <w:sz w:val="24"/>
          <w:szCs w:val="24"/>
        </w:rPr>
        <w:t>千山药机</w:t>
      </w:r>
      <w:r>
        <w:rPr>
          <w:rFonts w:hint="eastAsia" w:ascii="宋体" w:hAnsi="宋体" w:eastAsia="宋体"/>
          <w:sz w:val="24"/>
          <w:szCs w:val="24"/>
        </w:rPr>
        <w:t>于</w:t>
      </w:r>
      <w:r>
        <w:rPr>
          <w:rFonts w:ascii="宋体" w:hAnsi="宋体" w:eastAsia="宋体"/>
          <w:sz w:val="24"/>
          <w:szCs w:val="24"/>
        </w:rPr>
        <w:t>2015年新增烟花生产线业务，华冠花炮为该业务唯一客户</w:t>
      </w:r>
      <w:r>
        <w:rPr>
          <w:rFonts w:hint="eastAsia" w:ascii="宋体" w:hAnsi="宋体" w:eastAsia="宋体"/>
          <w:sz w:val="24"/>
          <w:szCs w:val="24"/>
        </w:rPr>
        <w:t>。</w:t>
      </w:r>
      <w:r>
        <w:rPr>
          <w:rFonts w:ascii="宋体" w:hAnsi="宋体" w:eastAsia="宋体"/>
          <w:sz w:val="24"/>
          <w:szCs w:val="24"/>
        </w:rPr>
        <w:t>A事务所未对千山药机</w:t>
      </w:r>
      <w:r>
        <w:rPr>
          <w:rFonts w:hint="eastAsia" w:ascii="宋体" w:hAnsi="宋体" w:eastAsia="宋体"/>
          <w:sz w:val="24"/>
          <w:szCs w:val="24"/>
        </w:rPr>
        <w:t>以及</w:t>
      </w:r>
      <w:r>
        <w:rPr>
          <w:rFonts w:ascii="宋体" w:hAnsi="宋体" w:eastAsia="宋体"/>
          <w:sz w:val="24"/>
          <w:szCs w:val="24"/>
        </w:rPr>
        <w:t>华冠花炮是否具备履约能力及</w:t>
      </w:r>
      <w:r>
        <w:rPr>
          <w:rFonts w:hint="eastAsia" w:ascii="宋体" w:hAnsi="宋体" w:eastAsia="宋体"/>
          <w:sz w:val="24"/>
          <w:szCs w:val="24"/>
        </w:rPr>
        <w:t>其</w:t>
      </w:r>
      <w:r>
        <w:rPr>
          <w:rFonts w:ascii="宋体" w:hAnsi="宋体" w:eastAsia="宋体"/>
          <w:sz w:val="24"/>
          <w:szCs w:val="24"/>
        </w:rPr>
        <w:t>履约过程进行</w:t>
      </w:r>
      <w:r>
        <w:rPr>
          <w:rFonts w:hint="eastAsia" w:ascii="宋体" w:hAnsi="宋体" w:eastAsia="宋体"/>
          <w:sz w:val="24"/>
          <w:szCs w:val="24"/>
        </w:rPr>
        <w:t>必要</w:t>
      </w:r>
      <w:r>
        <w:rPr>
          <w:rFonts w:ascii="宋体" w:hAnsi="宋体" w:eastAsia="宋体"/>
          <w:sz w:val="24"/>
          <w:szCs w:val="24"/>
        </w:rPr>
        <w:t>关注。A事务所在2016年审计现场走访过程中，</w:t>
      </w:r>
      <w:r>
        <w:rPr>
          <w:rFonts w:hint="eastAsia" w:ascii="宋体" w:hAnsi="宋体" w:eastAsia="宋体"/>
          <w:sz w:val="24"/>
          <w:szCs w:val="24"/>
        </w:rPr>
        <w:t>向</w:t>
      </w:r>
      <w:r>
        <w:rPr>
          <w:rFonts w:ascii="宋体" w:hAnsi="宋体" w:eastAsia="宋体"/>
          <w:sz w:val="24"/>
          <w:szCs w:val="24"/>
        </w:rPr>
        <w:t>华冠花炮负责人</w:t>
      </w:r>
      <w:r>
        <w:rPr>
          <w:rFonts w:hint="eastAsia" w:ascii="宋体" w:hAnsi="宋体" w:eastAsia="宋体"/>
          <w:sz w:val="24"/>
          <w:szCs w:val="24"/>
        </w:rPr>
        <w:t>获取</w:t>
      </w:r>
      <w:r>
        <w:rPr>
          <w:rFonts w:ascii="宋体" w:hAnsi="宋体" w:eastAsia="宋体"/>
          <w:sz w:val="24"/>
          <w:szCs w:val="24"/>
        </w:rPr>
        <w:t>财务数据</w:t>
      </w:r>
      <w:r>
        <w:rPr>
          <w:rFonts w:hint="eastAsia" w:ascii="宋体" w:hAnsi="宋体" w:eastAsia="宋体"/>
          <w:sz w:val="24"/>
          <w:szCs w:val="24"/>
        </w:rPr>
        <w:t>，但未进一步对所获取财务数据</w:t>
      </w:r>
      <w:r>
        <w:rPr>
          <w:rFonts w:ascii="宋体" w:hAnsi="宋体" w:eastAsia="宋体"/>
          <w:sz w:val="24"/>
          <w:szCs w:val="24"/>
        </w:rPr>
        <w:t>予以审慎分析</w:t>
      </w:r>
      <w:r>
        <w:rPr>
          <w:rFonts w:hint="eastAsia" w:ascii="宋体" w:hAnsi="宋体" w:eastAsia="宋体"/>
          <w:sz w:val="24"/>
          <w:szCs w:val="24"/>
        </w:rPr>
        <w:t>，未结合千山药机与</w:t>
      </w:r>
      <w:r>
        <w:rPr>
          <w:rFonts w:ascii="宋体" w:hAnsi="宋体" w:eastAsia="宋体"/>
          <w:sz w:val="24"/>
          <w:szCs w:val="24"/>
        </w:rPr>
        <w:t>华冠花炮</w:t>
      </w:r>
      <w:r>
        <w:rPr>
          <w:rFonts w:hint="eastAsia" w:ascii="宋体" w:hAnsi="宋体" w:eastAsia="宋体"/>
          <w:sz w:val="24"/>
          <w:szCs w:val="24"/>
        </w:rPr>
        <w:t>已完成的交易情况，关注与分析</w:t>
      </w:r>
      <w:r>
        <w:rPr>
          <w:rFonts w:ascii="宋体" w:hAnsi="宋体" w:eastAsia="宋体"/>
          <w:sz w:val="24"/>
          <w:szCs w:val="24"/>
        </w:rPr>
        <w:t>千山药机</w:t>
      </w:r>
      <w:r>
        <w:rPr>
          <w:rFonts w:hint="eastAsia" w:ascii="宋体" w:hAnsi="宋体" w:eastAsia="宋体"/>
          <w:sz w:val="24"/>
          <w:szCs w:val="24"/>
        </w:rPr>
        <w:t>以及</w:t>
      </w:r>
      <w:r>
        <w:rPr>
          <w:rFonts w:ascii="宋体" w:hAnsi="宋体" w:eastAsia="宋体"/>
          <w:sz w:val="24"/>
          <w:szCs w:val="24"/>
        </w:rPr>
        <w:t>华冠花炮</w:t>
      </w:r>
      <w:r>
        <w:rPr>
          <w:rFonts w:hint="eastAsia" w:ascii="宋体" w:hAnsi="宋体" w:eastAsia="宋体"/>
          <w:sz w:val="24"/>
          <w:szCs w:val="24"/>
        </w:rPr>
        <w:t>的经营实力与履约能力。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)A事务所</w:t>
      </w:r>
      <w:r>
        <w:rPr>
          <w:rFonts w:hint="eastAsia" w:ascii="宋体" w:hAnsi="宋体" w:eastAsia="宋体"/>
          <w:sz w:val="24"/>
          <w:szCs w:val="24"/>
        </w:rPr>
        <w:t>未对</w:t>
      </w:r>
      <w:r>
        <w:rPr>
          <w:rFonts w:ascii="宋体" w:hAnsi="宋体" w:eastAsia="宋体"/>
          <w:sz w:val="24"/>
          <w:szCs w:val="24"/>
        </w:rPr>
        <w:t>千山药机</w:t>
      </w:r>
      <w:r>
        <w:rPr>
          <w:rFonts w:hint="eastAsia" w:ascii="宋体" w:hAnsi="宋体" w:eastAsia="宋体"/>
          <w:sz w:val="24"/>
          <w:szCs w:val="24"/>
        </w:rPr>
        <w:t>新增重大客户保持合理怀疑，未对销售回款执行充分审计程序，未能获取充分而恰当的审计证据。</w:t>
      </w:r>
    </w:p>
    <w:p>
      <w:pPr>
        <w:spacing w:line="360" w:lineRule="auto"/>
        <w:ind w:firstLine="504"/>
        <w:rPr>
          <w:rFonts w:ascii="宋体" w:hAnsi="宋体" w:eastAsia="宋体"/>
          <w:sz w:val="24"/>
          <w:szCs w:val="24"/>
        </w:rPr>
      </w:pPr>
      <w:r>
        <w:rPr>
          <w:rFonts w:hint="eastAsia" w:ascii="宋体" w:hAnsi="宋体" w:eastAsia="宋体"/>
          <w:sz w:val="24"/>
          <w:szCs w:val="24"/>
        </w:rPr>
        <w:t>A事务所</w:t>
      </w:r>
      <w:r>
        <w:rPr>
          <w:rFonts w:ascii="宋体" w:hAnsi="宋体" w:eastAsia="宋体"/>
          <w:sz w:val="24"/>
          <w:szCs w:val="24"/>
        </w:rPr>
        <w:t>2015年对华冠花炮销售合同、发货记录等进行检查，但未获取相关银行回单等审计证据</w:t>
      </w:r>
      <w:r>
        <w:rPr>
          <w:rFonts w:hint="eastAsia" w:ascii="宋体" w:hAnsi="宋体" w:eastAsia="宋体"/>
          <w:sz w:val="24"/>
          <w:szCs w:val="24"/>
        </w:rPr>
        <w:t>，</w:t>
      </w:r>
      <w:r>
        <w:rPr>
          <w:rFonts w:ascii="宋体" w:hAnsi="宋体" w:eastAsia="宋体"/>
          <w:sz w:val="24"/>
          <w:szCs w:val="24"/>
        </w:rPr>
        <w:t>对销售回款情况</w:t>
      </w:r>
      <w:r>
        <w:rPr>
          <w:rFonts w:hint="eastAsia" w:ascii="宋体" w:hAnsi="宋体" w:eastAsia="宋体"/>
          <w:sz w:val="24"/>
          <w:szCs w:val="24"/>
        </w:rPr>
        <w:t>实施进一步</w:t>
      </w:r>
      <w:r>
        <w:rPr>
          <w:rFonts w:ascii="宋体" w:hAnsi="宋体" w:eastAsia="宋体"/>
          <w:sz w:val="24"/>
          <w:szCs w:val="24"/>
        </w:rPr>
        <w:t>检查。A事务所</w:t>
      </w:r>
      <w:r>
        <w:rPr>
          <w:rFonts w:hint="eastAsia" w:ascii="宋体" w:hAnsi="宋体" w:eastAsia="宋体"/>
          <w:sz w:val="24"/>
          <w:szCs w:val="24"/>
        </w:rPr>
        <w:t>在</w:t>
      </w:r>
      <w:r>
        <w:rPr>
          <w:rFonts w:ascii="宋体" w:hAnsi="宋体" w:eastAsia="宋体"/>
          <w:sz w:val="24"/>
          <w:szCs w:val="24"/>
        </w:rPr>
        <w:t>2016年抽取华冠花炮建设银行账户回款至千山药机工商银行账户的部分银行回单进行检查。但是，华冠花炮</w:t>
      </w:r>
      <w:r>
        <w:rPr>
          <w:rFonts w:hint="eastAsia" w:ascii="宋体" w:hAnsi="宋体" w:eastAsia="宋体"/>
          <w:sz w:val="24"/>
          <w:szCs w:val="24"/>
        </w:rPr>
        <w:t>实际上</w:t>
      </w:r>
      <w:r>
        <w:rPr>
          <w:rFonts w:ascii="宋体" w:hAnsi="宋体" w:eastAsia="宋体"/>
          <w:sz w:val="24"/>
          <w:szCs w:val="24"/>
        </w:rPr>
        <w:t>不存在银行回单中所记载的建设银行账户，</w:t>
      </w:r>
      <w:r>
        <w:rPr>
          <w:rFonts w:hint="eastAsia" w:ascii="宋体" w:hAnsi="宋体" w:eastAsia="宋体"/>
          <w:sz w:val="24"/>
          <w:szCs w:val="24"/>
        </w:rPr>
        <w:t>前述</w:t>
      </w:r>
      <w:r>
        <w:rPr>
          <w:rFonts w:ascii="宋体" w:hAnsi="宋体" w:eastAsia="宋体"/>
          <w:sz w:val="24"/>
          <w:szCs w:val="24"/>
        </w:rPr>
        <w:t>银行回单</w:t>
      </w:r>
      <w:r>
        <w:rPr>
          <w:rFonts w:hint="eastAsia" w:ascii="宋体" w:hAnsi="宋体" w:eastAsia="宋体"/>
          <w:sz w:val="24"/>
          <w:szCs w:val="24"/>
        </w:rPr>
        <w:t>实际上由</w:t>
      </w:r>
      <w:r>
        <w:rPr>
          <w:rFonts w:ascii="宋体" w:hAnsi="宋体" w:eastAsia="宋体"/>
          <w:sz w:val="24"/>
          <w:szCs w:val="24"/>
        </w:rPr>
        <w:t>千山药机</w:t>
      </w:r>
      <w:r>
        <w:rPr>
          <w:rFonts w:hint="eastAsia" w:ascii="宋体" w:hAnsi="宋体" w:eastAsia="宋体"/>
          <w:sz w:val="24"/>
          <w:szCs w:val="24"/>
        </w:rPr>
        <w:t>伪造。</w:t>
      </w:r>
      <w:r>
        <w:rPr>
          <w:rFonts w:ascii="宋体" w:hAnsi="宋体" w:eastAsia="宋体"/>
          <w:sz w:val="24"/>
          <w:szCs w:val="24"/>
        </w:rPr>
        <w:t>A事务所</w:t>
      </w:r>
      <w:r>
        <w:rPr>
          <w:rFonts w:hint="eastAsia" w:ascii="宋体" w:hAnsi="宋体" w:eastAsia="宋体"/>
          <w:sz w:val="24"/>
          <w:szCs w:val="24"/>
        </w:rPr>
        <w:t>在执行审计程序过程中，审计人员</w:t>
      </w:r>
      <w:r>
        <w:rPr>
          <w:rFonts w:ascii="宋体" w:hAnsi="宋体" w:eastAsia="宋体"/>
          <w:sz w:val="24"/>
          <w:szCs w:val="24"/>
        </w:rPr>
        <w:t>未亲自前往银行打印相关银行流水、</w:t>
      </w:r>
      <w:r>
        <w:rPr>
          <w:rFonts w:hint="eastAsia" w:ascii="宋体" w:hAnsi="宋体" w:eastAsia="宋体"/>
          <w:sz w:val="24"/>
          <w:szCs w:val="24"/>
        </w:rPr>
        <w:t>银行</w:t>
      </w:r>
      <w:r>
        <w:rPr>
          <w:rFonts w:ascii="宋体" w:hAnsi="宋体" w:eastAsia="宋体"/>
          <w:sz w:val="24"/>
          <w:szCs w:val="24"/>
        </w:rPr>
        <w:t>回单，而是直接采纳千山药机提供的银行流水及相关回单作为审计证据，</w:t>
      </w:r>
      <w:r>
        <w:rPr>
          <w:rFonts w:hint="eastAsia" w:ascii="宋体" w:hAnsi="宋体" w:eastAsia="宋体"/>
          <w:sz w:val="24"/>
          <w:szCs w:val="24"/>
        </w:rPr>
        <w:t>也未现场查看</w:t>
      </w:r>
      <w:r>
        <w:rPr>
          <w:rFonts w:ascii="宋体" w:hAnsi="宋体" w:eastAsia="宋体"/>
          <w:sz w:val="24"/>
          <w:szCs w:val="24"/>
        </w:rPr>
        <w:t>千山药机电子银行</w:t>
      </w:r>
      <w:r>
        <w:rPr>
          <w:rFonts w:hint="eastAsia" w:ascii="宋体" w:hAnsi="宋体" w:eastAsia="宋体"/>
          <w:sz w:val="24"/>
          <w:szCs w:val="24"/>
        </w:rPr>
        <w:t>系统，对</w:t>
      </w:r>
      <w:r>
        <w:rPr>
          <w:rFonts w:ascii="宋体" w:hAnsi="宋体" w:eastAsia="宋体"/>
          <w:sz w:val="24"/>
          <w:szCs w:val="24"/>
        </w:rPr>
        <w:t>千山药机财务部提供的银行账户对账单可靠性予以验证</w:t>
      </w:r>
      <w:r>
        <w:rPr>
          <w:rFonts w:hint="eastAsia" w:ascii="宋体" w:hAnsi="宋体" w:eastAsia="宋体"/>
          <w:sz w:val="24"/>
          <w:szCs w:val="24"/>
        </w:rPr>
        <w:t>，</w:t>
      </w:r>
      <w:r>
        <w:rPr>
          <w:rFonts w:ascii="宋体" w:hAnsi="宋体" w:eastAsia="宋体"/>
          <w:sz w:val="24"/>
          <w:szCs w:val="24"/>
        </w:rPr>
        <w:t>对</w:t>
      </w:r>
      <w:r>
        <w:rPr>
          <w:rFonts w:hint="eastAsia" w:ascii="宋体" w:hAnsi="宋体" w:eastAsia="宋体"/>
          <w:sz w:val="24"/>
          <w:szCs w:val="24"/>
        </w:rPr>
        <w:t>各项大额销售回款对应的银行</w:t>
      </w:r>
      <w:r>
        <w:rPr>
          <w:rFonts w:ascii="宋体" w:hAnsi="宋体" w:eastAsia="宋体"/>
          <w:sz w:val="24"/>
          <w:szCs w:val="24"/>
        </w:rPr>
        <w:t>回单</w:t>
      </w:r>
      <w:r>
        <w:rPr>
          <w:rFonts w:hint="eastAsia" w:ascii="宋体" w:hAnsi="宋体" w:eastAsia="宋体"/>
          <w:sz w:val="24"/>
          <w:szCs w:val="24"/>
        </w:rPr>
        <w:t>信息</w:t>
      </w:r>
      <w:r>
        <w:rPr>
          <w:rFonts w:ascii="宋体" w:hAnsi="宋体" w:eastAsia="宋体"/>
          <w:sz w:val="24"/>
          <w:szCs w:val="24"/>
        </w:rPr>
        <w:t>予以</w:t>
      </w:r>
      <w:r>
        <w:rPr>
          <w:rFonts w:hint="eastAsia" w:ascii="宋体" w:hAnsi="宋体" w:eastAsia="宋体"/>
          <w:sz w:val="24"/>
          <w:szCs w:val="24"/>
        </w:rPr>
        <w:t>进一步</w:t>
      </w:r>
      <w:r>
        <w:rPr>
          <w:rFonts w:ascii="宋体" w:hAnsi="宋体" w:eastAsia="宋体"/>
          <w:sz w:val="24"/>
          <w:szCs w:val="24"/>
        </w:rPr>
        <w:t>核实</w:t>
      </w:r>
      <w:r>
        <w:rPr>
          <w:rFonts w:hint="eastAsia" w:ascii="宋体" w:hAnsi="宋体" w:eastAsia="宋体"/>
          <w:sz w:val="24"/>
          <w:szCs w:val="24"/>
        </w:rPr>
        <w:t>。</w:t>
      </w:r>
    </w:p>
    <w:p>
      <w:pPr>
        <w:pStyle w:val="3"/>
      </w:pPr>
      <w:bookmarkStart w:id="100" w:name="_Toc154133381"/>
      <w:bookmarkStart w:id="101" w:name="_Toc161346783"/>
      <w:r>
        <w:rPr>
          <w:rFonts w:hint="eastAsia"/>
        </w:rPr>
        <w:t>2.东方金钰舞弊案例</w:t>
      </w:r>
      <w:bookmarkEnd w:id="100"/>
      <w:bookmarkEnd w:id="101"/>
    </w:p>
    <w:p>
      <w:pPr>
        <w:spacing w:line="360" w:lineRule="auto"/>
        <w:ind w:firstLine="490"/>
        <w:rPr>
          <w:rFonts w:ascii="宋体" w:hAnsi="宋体" w:eastAsia="宋体"/>
          <w:sz w:val="24"/>
          <w:szCs w:val="24"/>
        </w:rPr>
      </w:pPr>
      <w:r>
        <w:rPr>
          <w:rFonts w:hint="eastAsia" w:ascii="宋体" w:hAnsi="宋体" w:eastAsia="宋体"/>
          <w:sz w:val="24"/>
          <w:szCs w:val="24"/>
        </w:rPr>
        <w:t>东方金钰股份有限公司（以下简称东方金钰）主要从事珠宝首饰产品的研发设计、加工和销售，主要产品包括翡翠原石、翡翠成品、黄金金条、黄金镶嵌饰品等，于</w:t>
      </w:r>
      <w:r>
        <w:rPr>
          <w:rFonts w:ascii="宋体" w:hAnsi="宋体" w:eastAsia="宋体"/>
          <w:sz w:val="24"/>
          <w:szCs w:val="24"/>
        </w:rPr>
        <w:t>1997年6月在上海证券交易所上市。</w:t>
      </w:r>
    </w:p>
    <w:p>
      <w:pPr>
        <w:spacing w:line="360" w:lineRule="auto"/>
        <w:ind w:firstLine="490"/>
        <w:rPr>
          <w:rFonts w:ascii="宋体" w:hAnsi="宋体" w:eastAsia="宋体"/>
          <w:sz w:val="24"/>
          <w:szCs w:val="24"/>
        </w:rPr>
      </w:pPr>
      <w:r>
        <w:rPr>
          <w:rFonts w:hint="eastAsia" w:ascii="宋体" w:hAnsi="宋体" w:eastAsia="宋体"/>
          <w:sz w:val="24"/>
          <w:szCs w:val="24"/>
        </w:rPr>
        <w:t>根据中国证监会行政处罚决定书〔</w:t>
      </w:r>
      <w:r>
        <w:rPr>
          <w:rFonts w:ascii="宋体" w:hAnsi="宋体" w:eastAsia="宋体"/>
          <w:sz w:val="24"/>
          <w:szCs w:val="24"/>
        </w:rPr>
        <w:t>2020〕</w:t>
      </w:r>
      <w:r>
        <w:rPr>
          <w:rFonts w:hint="eastAsia" w:ascii="宋体" w:hAnsi="宋体" w:eastAsia="宋体"/>
          <w:sz w:val="24"/>
          <w:szCs w:val="24"/>
        </w:rPr>
        <w:t>6</w:t>
      </w:r>
      <w:r>
        <w:rPr>
          <w:rFonts w:ascii="宋体" w:hAnsi="宋体" w:eastAsia="宋体"/>
          <w:sz w:val="24"/>
          <w:szCs w:val="24"/>
        </w:rPr>
        <w:t>2号</w:t>
      </w:r>
      <w:r>
        <w:rPr>
          <w:rFonts w:hint="eastAsia" w:ascii="宋体" w:hAnsi="宋体" w:eastAsia="宋体"/>
          <w:sz w:val="24"/>
          <w:szCs w:val="24"/>
        </w:rPr>
        <w:t>，东方金钰</w:t>
      </w:r>
      <w:r>
        <w:rPr>
          <w:rFonts w:ascii="宋体" w:hAnsi="宋体" w:eastAsia="宋体"/>
          <w:sz w:val="24"/>
          <w:szCs w:val="24"/>
        </w:rPr>
        <w:t>2016年至2018年期间</w:t>
      </w:r>
      <w:r>
        <w:rPr>
          <w:rFonts w:hint="eastAsia" w:ascii="宋体" w:hAnsi="宋体" w:eastAsia="宋体"/>
          <w:sz w:val="24"/>
          <w:szCs w:val="24"/>
        </w:rPr>
        <w:t>实施财务舞弊，虚增收入</w:t>
      </w:r>
      <w:r>
        <w:rPr>
          <w:rFonts w:ascii="宋体" w:hAnsi="宋体" w:eastAsia="宋体"/>
          <w:sz w:val="24"/>
          <w:szCs w:val="24"/>
        </w:rPr>
        <w:t>，</w:t>
      </w:r>
      <w:r>
        <w:rPr>
          <w:rFonts w:hint="eastAsia" w:ascii="宋体" w:hAnsi="宋体" w:eastAsia="宋体"/>
          <w:sz w:val="24"/>
          <w:szCs w:val="24"/>
        </w:rPr>
        <w:t>具体情况简述如下：</w:t>
      </w:r>
    </w:p>
    <w:p>
      <w:pPr>
        <w:spacing w:line="360" w:lineRule="auto"/>
        <w:ind w:firstLine="490"/>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38735</wp:posOffset>
                </wp:positionV>
                <wp:extent cx="5416550" cy="1905000"/>
                <wp:effectExtent l="0" t="0" r="12700" b="19050"/>
                <wp:wrapNone/>
                <wp:docPr id="19" name="Rectangle 19"/>
                <wp:cNvGraphicFramePr/>
                <a:graphic xmlns:a="http://schemas.openxmlformats.org/drawingml/2006/main">
                  <a:graphicData uri="http://schemas.microsoft.com/office/word/2010/wordprocessingShape">
                    <wps:wsp>
                      <wps:cNvSpPr/>
                      <wps:spPr>
                        <a:xfrm>
                          <a:off x="0" y="0"/>
                          <a:ext cx="5416550" cy="19050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9" o:spid="_x0000_s1026" o:spt="1" style="position:absolute;left:0pt;margin-left:-9pt;margin-top:3.05pt;height:150pt;width:426.5pt;z-index:251659264;v-text-anchor:middle;mso-width-relative:page;mso-height-relative:page;" filled="f" stroked="t" coordsize="21600,21600" o:gfxdata="UEsDBAoAAAAAAIdO4kAAAAAAAAAAAAAAAAAEAAAAZHJzL1BLAwQUAAAACACHTuJAlYSj5tUAAAAJ&#10;AQAADwAAAGRycy9kb3ducmV2LnhtbE2PzU7DMBCE70i8g7VI3FrbhLZRyKZCSFyRKO3djZ0fiNdR&#10;7LSlT89yguPsjGa/KbcXP4iTm2IfCEEvFQhHdbA9tQj7j9dFDiImQ9YMgRzCt4uwrW5vSlPYcKZ3&#10;d9qlVnAJxcIgdCmNhZSx7pw3cRlGR+w1YfImsZxaaSdz5nI/yAel1tKbnvhDZ0b30rn6azd7hPB8&#10;zR7f/GGQ7Zw3zSZ+6pW9It7fafUEIrlL+gvDLz6jQ8VMxzCTjWJAWOictySEtQbBfp6tWB8RMsUX&#10;WZXy/4LqB1BLAwQUAAAACACHTuJAS4EakW4CAADxBAAADgAAAGRycy9lMm9Eb2MueG1srVRNb9sw&#10;DL0P2H8QdF/tZEnXBnWKoEGGAcUatBt2VmTZFqCvSUqc7tfvSXbartuhh11sUqQeyUdSV9dHrchB&#10;+CCtqejkrKREGG5radqKfv+2+XBBSYjM1ExZIyr6KAK9Xr5/d9W7hZjazqpaeAIQExa9q2gXo1sU&#10;ReCd0CycWScMjI31mkWovi1qz3qga1VMy/K86K2vnbdchIDT9WCkI6J/C6BtGsnF2vK9FiYOqF4o&#10;FlFS6KQLdJmzbRrB413TBBGJqigqjfmLIJB36Vssr9ii9cx1ko8psLek8KomzaRB0CeoNYuM7L38&#10;C0pL7m2wTTzjVhdDIZkRVDEpX3Hz0DEnci2gOrgn0sP/g+VfD1tPZI1JuKTEMI2O34M1ZlolCM5A&#10;UO/CAn4PbutHLUBM1R4br9MfdZBjJvXxiVRxjITjcD6bnM/n4JvDNrks52WZaS+erzsf4mdhNUlC&#10;RT3iZzLZ4TZEhITrySVFM3YjlcqdU4b0FT3/mPEZprHBFCCUdqgomJYSplqMOY8+IwarZJ1uJ5zg&#10;292N8uTAMBzTzXx6sRmcOlaL4TQle8p2dM/p/IGTcluz0A1XsmmYKy0jVkVJXdGLBHRCUgYgidWB&#10;xyTtbP2IRng7TGhwfCMBe8tC3DKPkQSBWNp4h0+jLIq2o0RJZ/2vf50nf0wKrJT0GHEw8nPPvKBE&#10;fTGYocvJbJZ2Iiuz+acpFP/SsntpMXt9Y0HUBM+D41lM/lGdxMZb/QO7vUpRYWKGI/bA/ajcxGH1&#10;8DpwsVplN+yBY/HWPDiewIcGr/bRNjL3/pmdkTRsQu7BuLVp1V7q2ev5pV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WEo+bVAAAACQEAAA8AAAAAAAAAAQAgAAAAIgAAAGRycy9kb3ducmV2Lnht&#10;bFBLAQIUABQAAAAIAIdO4kBLgRqRbgIAAPEEAAAOAAAAAAAAAAEAIAAAACQBAABkcnMvZTJvRG9j&#10;LnhtbFBLBQYAAAAABgAGAFkBAAAEBgAAAAA=&#10;">
                <v:fill on="f" focussize="0,0"/>
                <v:stroke weight="0.5pt" color="#2F528F [3204]" miterlimit="8" joinstyle="miter"/>
                <v:imagedata o:title=""/>
                <o:lock v:ext="edit" aspectratio="f"/>
              </v:rect>
            </w:pict>
          </mc:Fallback>
        </mc:AlternateContent>
      </w:r>
    </w:p>
    <w:p>
      <w:pPr>
        <w:jc w:val="center"/>
        <w:rPr>
          <w:rFonts w:ascii="宋体" w:hAnsi="宋体" w:eastAsia="宋体"/>
          <w:b/>
          <w:bCs/>
          <w:sz w:val="24"/>
          <w:szCs w:val="24"/>
        </w:rPr>
      </w:pPr>
      <w:r>
        <w:rPr>
          <w:rFonts w:hint="eastAsia" w:ascii="宋体" w:hAnsi="宋体" w:eastAsia="宋体"/>
          <w:b/>
          <w:bCs/>
          <w:sz w:val="24"/>
          <w:szCs w:val="24"/>
        </w:rPr>
        <w:t>虚构销售交易</w:t>
      </w:r>
    </w:p>
    <w:p>
      <w:pPr>
        <w:rPr>
          <w:rFonts w:ascii="宋体" w:hAnsi="宋体" w:eastAsia="宋体"/>
          <w:sz w:val="24"/>
          <w:szCs w:val="24"/>
        </w:rPr>
      </w:pPr>
    </w:p>
    <w:p>
      <w:pPr>
        <w:pStyle w:val="18"/>
        <w:rPr>
          <w:rFonts w:ascii="宋体" w:hAnsi="宋体" w:eastAsia="宋体"/>
          <w:sz w:val="24"/>
          <w:szCs w:val="24"/>
        </w:rPr>
      </w:pPr>
      <w:r>
        <w:rPr>
          <w:rFonts w:hint="eastAsia" w:ascii="宋体" w:hAnsi="宋体" w:eastAsia="宋体"/>
          <w:sz w:val="24"/>
          <w:szCs w:val="24"/>
        </w:rPr>
        <w:t>实际控制名义客户、名义供应商、中转方虚构交易</w:t>
      </w:r>
    </w:p>
    <w:p>
      <w:pPr>
        <w:pStyle w:val="18"/>
        <w:rPr>
          <w:rFonts w:ascii="宋体" w:hAnsi="宋体" w:eastAsia="宋体"/>
          <w:sz w:val="24"/>
          <w:szCs w:val="24"/>
        </w:rPr>
      </w:pPr>
      <w:r>
        <w:rPr>
          <w:rFonts w:hint="eastAsia" w:ascii="宋体" w:hAnsi="宋体" w:eastAsia="宋体"/>
          <w:sz w:val="24"/>
          <w:szCs w:val="24"/>
        </w:rPr>
        <w:t>虚构</w:t>
      </w:r>
      <w:r>
        <w:rPr>
          <w:rFonts w:ascii="宋体" w:hAnsi="宋体" w:eastAsia="宋体"/>
          <w:sz w:val="24"/>
          <w:szCs w:val="24"/>
        </w:rPr>
        <w:t>资金流</w:t>
      </w:r>
    </w:p>
    <w:p>
      <w:pPr>
        <w:pStyle w:val="18"/>
        <w:rPr>
          <w:rFonts w:ascii="宋体" w:hAnsi="宋体" w:eastAsia="宋体"/>
          <w:sz w:val="24"/>
          <w:szCs w:val="24"/>
        </w:rPr>
      </w:pPr>
      <w:r>
        <w:rPr>
          <w:rFonts w:hint="eastAsia" w:ascii="宋体" w:hAnsi="宋体" w:eastAsia="宋体"/>
          <w:sz w:val="24"/>
          <w:szCs w:val="24"/>
        </w:rPr>
        <w:t>无货物流</w:t>
      </w:r>
    </w:p>
    <w:p>
      <w:pPr>
        <w:pStyle w:val="18"/>
        <w:rPr>
          <w:rFonts w:ascii="宋体" w:hAnsi="宋体" w:eastAsia="宋体"/>
          <w:sz w:val="24"/>
          <w:szCs w:val="24"/>
        </w:rPr>
      </w:pPr>
      <w:r>
        <w:rPr>
          <w:rFonts w:hint="eastAsia" w:ascii="宋体" w:hAnsi="宋体" w:eastAsia="宋体"/>
          <w:sz w:val="24"/>
          <w:szCs w:val="24"/>
        </w:rPr>
        <w:t>无单据</w:t>
      </w:r>
      <w:r>
        <w:rPr>
          <w:rFonts w:ascii="宋体" w:hAnsi="宋体" w:eastAsia="宋体"/>
          <w:sz w:val="24"/>
          <w:szCs w:val="24"/>
        </w:rPr>
        <w:t>流</w:t>
      </w:r>
    </w:p>
    <w:p>
      <w:pPr>
        <w:pStyle w:val="18"/>
        <w:rPr>
          <w:rFonts w:ascii="宋体" w:hAnsi="宋体" w:eastAsia="宋体"/>
          <w:sz w:val="24"/>
          <w:szCs w:val="24"/>
        </w:rPr>
      </w:pPr>
      <w:r>
        <w:rPr>
          <w:rFonts w:hint="eastAsia" w:ascii="宋体" w:hAnsi="宋体" w:eastAsia="宋体"/>
          <w:sz w:val="24"/>
          <w:szCs w:val="24"/>
        </w:rPr>
        <w:t>与不具备恰当履约能力客户虚构交易</w: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58420</wp:posOffset>
                </wp:positionV>
                <wp:extent cx="5378450" cy="3251200"/>
                <wp:effectExtent l="0" t="0" r="12700" b="25400"/>
                <wp:wrapNone/>
                <wp:docPr id="64" name="Rectangle 64"/>
                <wp:cNvGraphicFramePr/>
                <a:graphic xmlns:a="http://schemas.openxmlformats.org/drawingml/2006/main">
                  <a:graphicData uri="http://schemas.microsoft.com/office/word/2010/wordprocessingShape">
                    <wps:wsp>
                      <wps:cNvSpPr/>
                      <wps:spPr>
                        <a:xfrm>
                          <a:off x="0" y="0"/>
                          <a:ext cx="5378450" cy="32512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4" o:spid="_x0000_s1026" o:spt="1" style="position:absolute;left:0pt;margin-top:4.6pt;height:256pt;width:423.5pt;mso-position-horizontal:right;mso-position-horizontal-relative:margin;z-index:251666432;v-text-anchor:middle;mso-width-relative:page;mso-height-relative:page;" filled="f" stroked="t" coordsize="21600,21600" o:gfxdata="UEsDBAoAAAAAAIdO4kAAAAAAAAAAAAAAAAAEAAAAZHJzL1BLAwQUAAAACACHTuJAsndsatMAAAAG&#10;AQAADwAAAGRycy9kb3ducmV2LnhtbE2PzU7DMBCE70i8g7VI3KiT0NIQsqkQElckCtzdePPTxuso&#10;dtrSp2c5wXE0o5lvys3ZDepIU+g9I6SLBBRx7W3PLcLnx+tdDipEw9YMngnhmwJsquur0hTWn/id&#10;jtvYKinhUBiELsax0DrUHTkTFn4kFq/xkzNR5NRqO5mTlLtBZ0nyoJ3pWRY6M9JLR/VhOzsE/3y5&#10;X765r0G3c94067BPV/aCeHuTJk+gIp3jXxh+8QUdKmHa+ZltUAOCHIkIjxkoMfPlWvQOYZWlGeiq&#10;1P/xqx9QSwMEFAAAAAgAh07iQBVKOr5vAgAA8QQAAA4AAABkcnMvZTJvRG9jLnhtbK1UyW7bMBC9&#10;F+g/ELw3sh07cYXIgRHDRYGgMZoWPdMUJRHgVpK2nH59HylladpDDvVBno1vZh5neHV90oochQ/S&#10;mopOzyaUCMNtLU1b0e/fth+WlITITM2UNaKiDyLQ69X7d1e9K8XMdlbVwhOAmFD2rqJdjK4sisA7&#10;oVk4s04YOBvrNYtQfVvUnvVA16qYTSYXRW997bzlIgRYN4OTjoj+LYC2aSQXG8sPWpg4oHqhWERL&#10;oZMu0FWutmkEj3dNE0QkqqLoNOYvkkDep2+xumJl65nrJB9LYG8p4VVPmkmDpE9QGxYZOXj5F5SW&#10;3Ntgm3jGrS6GRjIj6GI6ecXNfcecyL2A6uCeSA//D5Z/Oe48kXVFL+aUGKZx41/BGjOtEgQ2ENS7&#10;UCLu3u38qAWIqdtT43X6Rx/klEl9eCJVnCLhMC7OL5fzBfjm8J3PFlMMQUItno87H+InYTVJQkU9&#10;8mcy2fE2xCH0MSRlM3YrlYKdlcqQHqWfZ3yGaWwwBUilHToKpqWEqRZjzqPPiMEqWafT6XDw7f5G&#10;eXJkGI7ZdjFbboegjtVisC4m+I3VjuG58j9wUm0bFrrhSHalI6zUMmJVlNQVXSagRyRlAJJYHXhM&#10;0t7WD7gIb4cJDY5vJWBvWYg75jGSIBBLG+/waZRF03aUKOms//Uve4rHpMBLSY8RByM/D8wLStRn&#10;gxn6OJ3P005kZb64nEHxLz37lx5z0DcWRE3xPDiexRQf1aPYeKt/YLfXKStczHDkHrgflZs4rB5e&#10;By7W6xyGPXAs3pp7xxP4cMHrQ7SNzHf/zM5IGjYh38G4tWnVXuo56vmlW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ndsatMAAAAGAQAADwAAAAAAAAABACAAAAAiAAAAZHJzL2Rvd25yZXYueG1s&#10;UEsBAhQAFAAAAAgAh07iQBVKOr5vAgAA8QQAAA4AAAAAAAAAAQAgAAAAIgEAAGRycy9lMm9Eb2Mu&#10;eG1sUEsFBgAAAAAGAAYAWQEAAAMGAAAAAA==&#10;">
                <v:fill on="f" focussize="0,0"/>
                <v:stroke weight="0.5pt" color="#2F528F [3204]" miterlimit="8" joinstyle="miter"/>
                <v:imagedata o:title=""/>
                <o:lock v:ext="edit" aspectratio="f"/>
              </v:rect>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margin">
                  <wp:posOffset>2463800</wp:posOffset>
                </wp:positionH>
                <wp:positionV relativeFrom="paragraph">
                  <wp:posOffset>107950</wp:posOffset>
                </wp:positionV>
                <wp:extent cx="2482850" cy="298450"/>
                <wp:effectExtent l="0" t="0" r="0" b="0"/>
                <wp:wrapNone/>
                <wp:docPr id="66" name="Rectangle 66"/>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实际控制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6" o:spid="_x0000_s1026" o:spt="1" style="position:absolute;left:0pt;margin-left:194pt;margin-top:8.5pt;height:23.5pt;width:195.5pt;mso-position-horizontal-relative:margin;z-index:251668480;v-text-anchor:middle;mso-width-relative:page;mso-height-relative:page;" filled="f" stroked="f" coordsize="21600,21600" o:gfxdata="UEsDBAoAAAAAAIdO4kAAAAAAAAAAAAAAAAAEAAAAZHJzL1BLAwQUAAAACACHTuJApfAXw9cAAAAJ&#10;AQAADwAAAGRycy9kb3ducmV2LnhtbE2PQU/DMAyF70j8h8hI3FgyQGspTSeBhBDaATHgniZeW9E4&#10;VZO227/HnNjJtt7T8/fK7dH3YsYxdoE0rFcKBJINrqNGw9fny00OIiZDzvSBUMMJI2yry4vSFC4s&#10;9IHzPjWCQygWRkOb0lBIGW2L3sRVGJBYO4TRm8Tn2Eg3moXDfS9vldpIbzriD60Z8LlF+7OfvIbv&#10;cHhavK3pbT69d9PrbrQ232l9fbVWjyASHtO/Gf7wGR0qZqrDRC6KXsNdnnOXxELGkw1Z9sBLrWFz&#10;r0BWpTxvUP0CUEsDBBQAAAAIAIdO4kAlkUZDVQIAALIEAAAOAAAAZHJzL2Uyb0RvYy54bWytVE1v&#10;2zAMvQ/YfxB0X50YaZsGdYqgQYcBxVqsG3ZWZCkWoK9JSpzu1+9JdtOg26GH5eCQIv1IPj36+uZg&#10;NNmLEJWzDZ2eTSgRlrtW2W1Df3y/+zSnJCZmW6adFQ19FpHeLD9+uO79QtSuc7oVgQDExkXvG9ql&#10;5BdVFXknDItnzguLoHTBsAQ3bKs2sB7oRlf1ZHJR9S60PjguYsTpegjSETG8B9BJqbhYO74zwqYB&#10;NQjNEkaKnfKRLku3UgqeHqSMIhHdUEyayhNFYG/ys1pes8U2MN8pPrbA3tPCm5kMUxZFj1BrlhjZ&#10;BfUXlFE8uOhkOuPOVMMghRFMMZ284eapY16UWUB19EfS4/+D5V/3j4GotqEXF5RYZnDj38Aas1st&#10;CM5AUO/jAnlP/jGMXoSZpz3IYPI/5iCHQurzkVRxSITjsJ7N6/k5+OaI1VfzGWzAVK9v+xDTZ+EM&#10;yUZDA8oXLtn+PqYh9SUlF7PuTmmNc7bQlvTQcH05yfgMapRQAUzjMVG0W0qY3kLmPIUCefJuhlyz&#10;2JE9gzai06od1GBUgsC1Mg2dT/JvbFdbdJ25GKbPVjpsDiMlG9c+g8ngBolFz+8UKtyzmB5ZgKbQ&#10;IbYuPeAhtUPbbrQo6Vz4/a/znI+rRpSSHhpFm792LAhK9BcLEVxNZzPApuLMzi9rOOE0sjmN2J25&#10;dRh1iv32vJg5P+kXUwZnfmI5V7kqQsxy1B7IG53bNOwO1puL1aqkQciepXv75HkGH65otUtOqnJ7&#10;maiBnZE/SLnc/7h2eVdO/ZL1+ql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l8BfD1wAAAAkB&#10;AAAPAAAAAAAAAAEAIAAAACIAAABkcnMvZG93bnJldi54bWxQSwECFAAUAAAACACHTuJAJZFGQ1UC&#10;AACyBAAADgAAAAAAAAABACAAAAAmAQAAZHJzL2Uyb0RvYy54bWxQSwUGAAAAAAYABgBZAQAA7QUA&#10;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实际控制</w:t>
                      </w:r>
                    </w:p>
                  </w:txbxContent>
                </v:textbox>
              </v:rect>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margin">
                  <wp:posOffset>230505</wp:posOffset>
                </wp:positionH>
                <wp:positionV relativeFrom="paragraph">
                  <wp:posOffset>99060</wp:posOffset>
                </wp:positionV>
                <wp:extent cx="2482850" cy="298450"/>
                <wp:effectExtent l="0" t="0" r="0" b="0"/>
                <wp:wrapNone/>
                <wp:docPr id="65" name="Rectangle 65"/>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实际控制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5" o:spid="_x0000_s1026" o:spt="1" style="position:absolute;left:0pt;margin-left:18.15pt;margin-top:7.8pt;height:23.5pt;width:195.5pt;mso-position-horizontal-relative:margin;z-index:251667456;v-text-anchor:middle;mso-width-relative:page;mso-height-relative:page;" filled="f" stroked="f" coordsize="21600,21600" o:gfxdata="UEsDBAoAAAAAAIdO4kAAAAAAAAAAAAAAAAAEAAAAZHJzL1BLAwQUAAAACACHTuJARJawUNYAAAAI&#10;AQAADwAAAGRycy9kb3ducmV2LnhtbE2PwU7DMBBE70j8g7VI3KjTFEwV4lQCCSHUA6LA3bG3SUS8&#10;jmInaf+e5QTHnRnNvil3J9+LGcfYBdKwXmUgkGxwHTUaPj+eb7YgYjLkTB8INZwxwq66vChN4cJC&#10;7zgfUiO4hGJhNLQpDYWU0bboTVyFAYm9Yxi9SXyOjXSjWbjc9zLPMiW96Yg/tGbApxbt92HyGr7C&#10;8XHxtqbX+fzWTS/70drtXuvrq3X2ACLhKf2F4Ref0aFipjpM5KLoNWzUhpOs3ykQ7N/m9yzUGlSu&#10;QFal/D+g+gFQSwMEFAAAAAgAh07iQFnnhRNVAgAAsgQAAA4AAABkcnMvZTJvRG9jLnhtbK1UTW/b&#10;MAy9D9h/EHRfnRhpmwZ1iqBBhwHFWqwbdlZkKRagr0lKnO7X70l206DboYfl4JAi/Ug+Pfr65mA0&#10;2YsQlbMNnZ5NKBGWu1bZbUN/fL/7NKckJmZbpp0VDX0Wkd4sP3647v1C1K5zuhWBAMTGRe8b2qXk&#10;F1UVeScMi2fOC4ugdMGwBDdsqzawHuhGV/VkclH1LrQ+OC5ixOl6CNIRMbwH0EmpuFg7vjPCpgE1&#10;CM0SRoqd8pEuS7dSCp4epIwiEd1QTJrKE0Vgb/KzWl6zxTYw3yk+tsDe08KbmQxTFkWPUGuWGNkF&#10;9ReUUTy46GQ6485UwyCFEUwxnbzh5qljXpRZQHX0R9Lj/4PlX/ePgai2oRfnlFhmcOPfwBqzWy0I&#10;zkBQ7+MCeU/+MYxehJmnPchg8j/mIIdC6vORVHFIhOOwns3r+Tn45ojVV/MZbMBUr2/7ENNn4QzJ&#10;RkMDyhcu2f4+piH1JSUXs+5OaY1zttCW9NBwfTnJ+AxqlFABTOMxUbRbSpjeQuY8hQJ58m6GXLPY&#10;kT2DNqLTqh3UYFSCwLUyDZ1P8m9sV1t0nbkYps9WOmwOIyUb1z6DyeAGiUXP7xQq3LOYHlmAptAh&#10;ti494CG1Q9tutCjpXPj9r/Ocj6tGlJIeGkWbv3YsCEr0FwsRXE1nM8Cm4szOL2s44TSyOY3Ynbl1&#10;GHWK/fa8mDk/6RdTBmd+YjlXuSpCzHLUHsgbnds07A7Wm4vVqqRByJ6le/vkeQYfrmi1S06qcnuZ&#10;qIGdkT9Iudz/uHZ5V079kvX6qV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SWsFDWAAAACAEA&#10;AA8AAAAAAAAAAQAgAAAAIgAAAGRycy9kb3ducmV2LnhtbFBLAQIUABQAAAAIAIdO4kBZ54UTVQIA&#10;ALIEAAAOAAAAAAAAAAEAIAAAACUBAABkcnMvZTJvRG9jLnhtbFBLBQYAAAAABgAGAFkBAADsBQAA&#10;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实际控制</w:t>
                      </w:r>
                    </w:p>
                  </w:txbxContent>
                </v:textbox>
              </v:rect>
            </w:pict>
          </mc:Fallback>
        </mc:AlternateConten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88960" behindDoc="0" locked="0" layoutInCell="1" allowOverlap="1">
                <wp:simplePos x="0" y="0"/>
                <wp:positionH relativeFrom="column">
                  <wp:posOffset>2590800</wp:posOffset>
                </wp:positionH>
                <wp:positionV relativeFrom="paragraph">
                  <wp:posOffset>-161925</wp:posOffset>
                </wp:positionV>
                <wp:extent cx="0" cy="581025"/>
                <wp:effectExtent l="0" t="0" r="38100" b="28575"/>
                <wp:wrapNone/>
                <wp:docPr id="63" name="Straight Connector 63"/>
                <wp:cNvGraphicFramePr/>
                <a:graphic xmlns:a="http://schemas.openxmlformats.org/drawingml/2006/main">
                  <a:graphicData uri="http://schemas.microsoft.com/office/word/2010/wordprocessingShape">
                    <wps:wsp>
                      <wps:cNvCnPr/>
                      <wps:spPr>
                        <a:xfrm>
                          <a:off x="0" y="0"/>
                          <a:ext cx="0" cy="581025"/>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o:spid="_x0000_s1026" o:spt="20" style="position:absolute;left:0pt;margin-left:204pt;margin-top:-12.75pt;height:45.75pt;width:0pt;z-index:251688960;mso-width-relative:page;mso-height-relative:page;" filled="f" stroked="t" coordsize="21600,21600" o:gfxdata="UEsDBAoAAAAAAIdO4kAAAAAAAAAAAAAAAAAEAAAAZHJzL1BLAwQUAAAACACHTuJACdToAtkAAAAK&#10;AQAADwAAAGRycy9kb3ducmV2LnhtbE2PwU7DMBBE70j8g7VI3Fq7oY2qkE0PSL0ABygQcXTjJYmI&#10;12nsNC1fjxEHOM7OaPZNvjnZThxp8K1jhMVcgSCunGm5Rnh92c7WIHzQbHTnmBDO5GFTXF7kOjNu&#10;4mc67kItYgn7TCM0IfSZlL5qyGo/dz1x9D7cYHWIcqilGfQUy20nE6VSaXXL8UOje7prqPrcjRbh&#10;8FUmb+P5/umxPCzf3U05bR/ChHh9tVC3IAKdwl8YfvAjOhSRae9GNl50CEu1jlsCwixZrUDExO9l&#10;j5CmCmSRy/8Tim9QSwMEFAAAAAgAh07iQLGlJ7HZAQAAtQMAAA4AAABkcnMvZTJvRG9jLnhtbK1T&#10;TW/bMAy9D9h/EHRf7GRpGxhxekjQXYYtQLcfwMiyLUBfINU4+fejbC/duksP80GmKPKR74naPl6c&#10;FWeNZIKv5XJRSqG9Co3xXS1//nj6tJGCEvgGbPC6lldN8nH38cN2iJVehT7YRqNgEE/VEGvZpxSr&#10;oiDVawe0CFF7PmwDOki8xa5oEAZGd7ZYleV9MQRsIgalidh7mA7ljIjvAQxta5Q+BPXitE8TKmoL&#10;iSlRbyLJ3dht22qVvrct6SRsLZlpGlcuwvYpr8VuC1WHEHuj5hbgPS284eTAeC56gzpAAvGC5h8o&#10;ZxQGCm1aqOCKicioCLNYlm+0ee4h6pELS03xJjr9P1j17XxEYZpa3n+WwoPjG39OCKbrk9gH71nB&#10;gIIPWakhUsUJe3/EeUfxiJn2pUWX/0xIXEZ1rzd19SUJNTkVe+82y3J1l+GK17yIlL7o4EQ2ammN&#10;z7yhgvNXSlPo75Ds9uHJWMt+qKwXA4/x6qHkK1XAA9nyILDpIpMi30kBtuNJVwlHSArWNDk9ZxN2&#10;p71FcQaej/X6YbVfz539FZZrH4D6Ka5hK0dB5Uzit2CNq+WmzN+cbD2zy2pN+mTrFJrrKNvo59sc&#10;+c+Tl8flz/2Y/frad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dToAtkAAAAKAQAADwAAAAAA&#10;AAABACAAAAAiAAAAZHJzL2Rvd25yZXYueG1sUEsBAhQAFAAAAAgAh07iQLGlJ7HZAQAAtQMAAA4A&#10;AAAAAAAAAQAgAAAAKAEAAGRycy9lMm9Eb2MueG1sUEsFBgAAAAAGAAYAWQEAAHMFAAAAAA==&#10;">
                <v:fill on="f" focussize="0,0"/>
                <v:stroke weight="1pt" color="#4472C4 [3204]" miterlimit="8" joinstyle="miter" dashstyle="dash"/>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3298825</wp:posOffset>
                </wp:positionH>
                <wp:positionV relativeFrom="paragraph">
                  <wp:posOffset>-821690</wp:posOffset>
                </wp:positionV>
                <wp:extent cx="668655" cy="1983105"/>
                <wp:effectExtent l="9207" t="9843" r="65088" b="65087"/>
                <wp:wrapNone/>
                <wp:docPr id="59" name="Connector: Elbow 59"/>
                <wp:cNvGraphicFramePr/>
                <a:graphic xmlns:a="http://schemas.openxmlformats.org/drawingml/2006/main">
                  <a:graphicData uri="http://schemas.microsoft.com/office/word/2010/wordprocessingShape">
                    <wps:wsp>
                      <wps:cNvCnPr/>
                      <wps:spPr>
                        <a:xfrm rot="16200000" flipH="1">
                          <a:off x="0" y="0"/>
                          <a:ext cx="668652" cy="1983106"/>
                        </a:xfrm>
                        <a:prstGeom prst="bentConnector3">
                          <a:avLst>
                            <a:gd name="adj1" fmla="val -224"/>
                          </a:avLst>
                        </a:prstGeom>
                        <a:ln w="1270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or: Elbow 59" o:spid="_x0000_s1026" o:spt="34" type="#_x0000_t34" style="position:absolute;left:0pt;flip:x;margin-left:259.75pt;margin-top:-64.7pt;height:156.15pt;width:52.65pt;rotation:5898240f;z-index:251687936;mso-width-relative:page;mso-height-relative:page;" filled="f" stroked="t" coordsize="21600,21600" o:gfxdata="UEsDBAoAAAAAAIdO4kAAAAAAAAAAAAAAAAAEAAAAZHJzL1BLAwQUAAAACACHTuJA36SZdtoAAAAM&#10;AQAADwAAAGRycy9kb3ducmV2LnhtbE2PQU+EMBCF7yb+h2ZMvO0WKqwLUvZgYmLiwYjGc6EVyLZT&#10;Qrss+usdT+5xMl/e+151WJ1li5nD6FFCuk2AGey8HrGX8PH+tNkDC1GhVtajkfBtAhzq66tKldqf&#10;8c0sTewZhWAolYQhxqnkPHSDcSps/WSQfl9+dirSOfdcz+pM4c5ykSQ77tSI1DCoyTwOpjs2JydB&#10;rPq1+cmPn/3zS2YXjPfF3dRKeXuTJg/AolnjPwx/+qQONTm1/oQ6MCshT4ucUAmbVBQZMEJ2IqM1&#10;LbF7UQCvK345ov4FUEsDBBQAAAAIAIdO4kCf278sGAIAACQEAAAOAAAAZHJzL2Uyb0RvYy54bWyt&#10;U01v2zAMvQ/YfxB0bx27qZsacXpI2u0wbAG2/QBGkm0N+oKkxsm/HyW76dZdepgPBkVSj3yP1Prh&#10;pBU5Ch+kNS0trxeUCMMsl6Zv6c8fT1crSkIEw0FZI1p6FoE+bD5+WI+uEZUdrOLCEwQxoRldS4cY&#10;XVMUgQ1CQ7i2ThgMdtZriHj0fcE9jIiuVVEtFnUxWs+dt0yEgN7dFKQzon8PoO06ycTOsmctTJxQ&#10;vVAQkVIYpAt0k7vtOsHit64LIhLVUmQa8x+LoH1I/2Kzhqb34AbJ5hbgPS284aRBGix6gdpBBPLs&#10;5T9QWjJvg+3iNbO6mIhkRZBFuXijzfcBnMhcUOrgLqKH/wfLvh73nkje0tt7SgxonPjWGoPCWd+Q&#10;R3WwI8EQ6jS60GD61uz9fApu7xPpU+c18RbFLWscMX6UdEq6z+jIqiBPcsqiny+ii1MkDJ11vapv&#10;K0oYhsr71U25qFO1YoJN8M6H+ElYTZLR0gPO/NLiTcaH45cQs/x85gD8V4lNaIXTPIIiV1W1nGHn&#10;ZCzwApxuGvsklcrroAwZsZfqLvFggDve4W6hqR3qFExPCageHw+LPpcPVkmerieg4PvDVnmCVVu6&#10;XN5V25fCf6Wl2jsIw5TH0UrtQaNlxOelpG7papIyuyNI9Wg4iWeHE4pegumVmBkpg3ql8UwDSdbB&#10;8nOeU/bj8mRF50VP2/nnOd9+fdy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kmXbaAAAADAEA&#10;AA8AAAAAAAAAAQAgAAAAIgAAAGRycy9kb3ducmV2LnhtbFBLAQIUABQAAAAIAIdO4kCf278sGAIA&#10;ACQEAAAOAAAAAAAAAAEAIAAAACkBAABkcnMvZTJvRG9jLnhtbFBLBQYAAAAABgAGAFkBAACzBQAA&#10;AAA=&#10;" adj="-48">
                <v:fill on="f" focussize="0,0"/>
                <v:stroke weight="1pt" color="#4472C4 [3204]" miterlimit="8" joinstyle="miter" dashstyle="dash" endarrow="block"/>
                <v:imagedata o:title=""/>
                <o:lock v:ext="edit" aspectratio="f"/>
              </v:shap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1164590</wp:posOffset>
                </wp:positionH>
                <wp:positionV relativeFrom="paragraph">
                  <wp:posOffset>-850900</wp:posOffset>
                </wp:positionV>
                <wp:extent cx="695325" cy="2092325"/>
                <wp:effectExtent l="44450" t="12700" r="15875" b="53975"/>
                <wp:wrapNone/>
                <wp:docPr id="57" name="Connector: Elbow 57"/>
                <wp:cNvGraphicFramePr/>
                <a:graphic xmlns:a="http://schemas.openxmlformats.org/drawingml/2006/main">
                  <a:graphicData uri="http://schemas.microsoft.com/office/word/2010/wordprocessingShape">
                    <wps:wsp>
                      <wps:cNvCnPr/>
                      <wps:spPr>
                        <a:xfrm rot="5400000">
                          <a:off x="0" y="0"/>
                          <a:ext cx="695325" cy="2092325"/>
                        </a:xfrm>
                        <a:prstGeom prst="bentConnector3">
                          <a:avLst>
                            <a:gd name="adj1" fmla="val -224"/>
                          </a:avLst>
                        </a:prstGeom>
                        <a:ln w="1270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or: Elbow 57" o:spid="_x0000_s1026" o:spt="34" type="#_x0000_t34" style="position:absolute;left:0pt;margin-left:91.7pt;margin-top:-67pt;height:164.75pt;width:54.75pt;rotation:5898240f;z-index:251686912;mso-width-relative:page;mso-height-relative:page;" filled="f" stroked="t" coordsize="21600,21600" o:gfxdata="UEsDBAoAAAAAAIdO4kAAAAAAAAAAAAAAAAAEAAAAZHJzL1BLAwQUAAAACACHTuJAFGB1ktoAAAAM&#10;AQAADwAAAGRycy9kb3ducmV2LnhtbE2PzU7DMBCE70i8g7VI3FonaYKaEKdCRRyLaKA9O/E2sYjt&#10;ELt/b89yKsfRjGa+KVcXM7ATTl47KyCeR8DQtk5p2wn4+nybLYH5IK2Sg7Mo4IoeVtX9XSkL5c52&#10;i6c6dIxKrC+kgD6EseDctz0a6eduREvewU1GBpJTx9Ukz1RuBp5E0RM3Ulta6OWI6x7b7/poBKR6&#10;s90d4vX48r7Zv2bxh65/mqsQjw9x9Aws4CXcwvCHT+hQEVPjjlZ5NpBeLlKKCpjFi5ReUSTJkxxY&#10;Q16eZcCrkv8/Uf0CUEsDBBQAAAAIAIdO4kBOmXxDEAIAABkEAAAOAAAAZHJzL2Uyb0RvYy54bWyt&#10;U01v2zAMvQ/YfxB0b+y4SdMacXpI2l2GLcC2HyBLsq1BX6DUOPn3o2Q327pLD/PBIEXqke+R2j6e&#10;jSYnCUE529DloqREWu6Esn1Df3x/vrmnJERmBdPOyoZeZKCPu48ftqOvZeUGp4UEgiA21KNv6BCj&#10;r4si8EEaFhbOS4vBzoFhEV3oCwFsRHSji6os74rRgfDguAwBTw9TkM6I8B5A13WKy4PjL0baOKGC&#10;1CwipTAoH+gud9t1ksevXRdkJLqhyDTmPxZBu03/YrdldQ/MD4rPLbD3tPCGk2HKYtEr1IFFRl5A&#10;/QNlFAcXXBcX3JliIpIVQRbL8o023wbmZeaCUgd/FT38P1j+5XQEokRD1xtKLDM48b2zFoVzUJMn&#10;3bqRYAh1Gn2oMX1vjzB7wR8hkT53YAg4FHe9KtOXpUBy5JyVvlyVludIOB7ePaxvqzUlHENV+VAl&#10;B0GLCSthegjxk3SGJKOhLQ762tdtxmenzyFmzcXcOBM/l5R0RuMIT0yTm6pazbBzMhZ4BU43rXtW&#10;Wucd0JaM+ByqDXZPOMPF7nCh0DQexQm2p4TpHl8Mj5DLB6eVSNcTUIC+3WsgWLWhq9Wm2r8W/ist&#10;1T6wMEx5Aq3UHquNivimtDINvZ8EzMeRKf1kBYkXj2OJoJjttZwZaYt6pZlMU0hW68QlDyef48Zk&#10;ReftTiv5p59v/37Ru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YHWS2gAAAAwBAAAPAAAAAAAA&#10;AAEAIAAAACIAAABkcnMvZG93bnJldi54bWxQSwECFAAUAAAACACHTuJATpl8QxACAAAZBAAADgAA&#10;AAAAAAABACAAAAApAQAAZHJzL2Uyb0RvYy54bWxQSwUGAAAAAAYABgBZAQAAqwUAAAAA&#10;" adj="-48">
                <v:fill on="f" focussize="0,0"/>
                <v:stroke weight="1pt" color="#4472C4 [3204]" miterlimit="8" joinstyle="miter" dashstyle="dash" endarrow="block"/>
                <v:imagedata o:title=""/>
                <o:lock v:ext="edit" aspectratio="f"/>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79744" behindDoc="0" locked="0" layoutInCell="1" allowOverlap="1">
                <wp:simplePos x="0" y="0"/>
                <wp:positionH relativeFrom="margin">
                  <wp:posOffset>2305050</wp:posOffset>
                </wp:positionH>
                <wp:positionV relativeFrom="paragraph">
                  <wp:posOffset>121920</wp:posOffset>
                </wp:positionV>
                <wp:extent cx="2482850" cy="298450"/>
                <wp:effectExtent l="0" t="0" r="0" b="0"/>
                <wp:wrapNone/>
                <wp:docPr id="43" name="Rectangle 43"/>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伪造购销合同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3" o:spid="_x0000_s1026" o:spt="1" style="position:absolute;left:0pt;margin-left:181.5pt;margin-top:9.6pt;height:23.5pt;width:195.5pt;mso-position-horizontal-relative:margin;z-index:251679744;v-text-anchor:middle;mso-width-relative:page;mso-height-relative:page;" filled="f" stroked="f" coordsize="21600,21600" o:gfxdata="UEsDBAoAAAAAAIdO4kAAAAAAAAAAAAAAAAAEAAAAZHJzL1BLAwQUAAAACACHTuJAxw8cmNgAAAAJ&#10;AQAADwAAAGRycy9kb3ducmV2LnhtbE2PwU7DMBBE70j8g7VI3KjTFEIb4lQCCSHUQ0Whd8feJhHx&#10;OoqdpP17lhMcd2Y0+6bYnl0nJhxC60nBcpGAQDLetlQr+Pp8vVuDCFGT1Z0nVHDBANvy+qrQufUz&#10;feB0iLXgEgq5VtDE2OdSBtOg02HheyT2Tn5wOvI51NIOeuZy18k0STLpdEv8odE9vjRovg+jU3D0&#10;p+fZmYrep8u+Hd92gzHrnVK3N8vkCUTEc/wLwy8+o0PJTJUfyQbRKVhlK94S2dikIDjw+HDPQqUg&#10;y1KQZSH/Lyh/AFBLAwQUAAAACACHTuJAIKJualUCAACyBAAADgAAAGRycy9lMm9Eb2MueG1srVRN&#10;b9swDL0P2H8QdF+deOmaBnWKoEGHAcUarBt2VmQpFqCvSUqc7tfvSXbboNuhh+XgkCL9SD49+ur6&#10;aDQ5iBCVsw2dnk0oEZa7VtldQ398v/0wpyQmZlumnRUNfRSRXi/fv7vq/ULUrnO6FYEAxMZF7xva&#10;peQXVRV5JwyLZ84Li6B0wbAEN+yqNrAe6EZX9WTyqepdaH1wXMSI0/UQpCNieAugk1JxsXZ8b4RN&#10;A2oQmiWMFDvlI12WbqUUPN1LGUUiuqGYNJUnisDe5me1vGKLXWC+U3xsgb2lhVczGaYsij5DrVli&#10;ZB/UX1BG8eCik+mMO1MNgxRGMMV08oqbh455UWYB1dE/kx7/Hyz/etgEotqGzj5SYpnBjX8Da8zu&#10;tCA4A0G9jwvkPfhNGL0IM097lMHkf8xBjoXUx2dSxTERjsN6Nq/n5+CbI1ZfzmewAVO9vO1DTJ+F&#10;MyQbDQ0oX7hkh7uYhtSnlFzMululNc7ZQlvSQ8P1xSTjM6hRQgUwjcdE0e4oYXoHmfMUCuTJuxly&#10;zWJHDgzaiE6rdlCDUQkC18o0dD7Jv7FdbdF15mKYPlvpuD2OlGxd+wgmgxskFj2/Vahwx2LasABN&#10;oUNsXbrHQ2qHtt1oUdK58Ptf5zkfV40oJT00ijZ/7VkQlOgvFiK4nM5mgE3FmZ1f1HDCaWR7GrF7&#10;c+Mw6hT77Xkxc37ST6YMzvzEcq5yVYSY5ag9kDc6N2nYHaw3F6tVSYOQPUt39sHzDD5c0WqfnFTl&#10;9jJRAzsjf5Byuf9x7fKunPol6+VTs/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w8cmNgAAAAJ&#10;AQAADwAAAAAAAAABACAAAAAiAAAAZHJzL2Rvd25yZXYueG1sUEsBAhQAFAAAAAgAh07iQCCibmpV&#10;AgAAsgQAAA4AAAAAAAAAAQAgAAAAJwEAAGRycy9lMm9Eb2MueG1sUEsFBgAAAAAGAAYAWQEAAO4F&#10;AA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伪造购销合同</w:t>
                      </w:r>
                    </w:p>
                  </w:txbxContent>
                </v:textbox>
              </v:rect>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margin">
                  <wp:posOffset>330200</wp:posOffset>
                </wp:positionH>
                <wp:positionV relativeFrom="paragraph">
                  <wp:posOffset>128270</wp:posOffset>
                </wp:positionV>
                <wp:extent cx="2482850" cy="298450"/>
                <wp:effectExtent l="0" t="0" r="0" b="0"/>
                <wp:wrapNone/>
                <wp:docPr id="39" name="Rectangle 39"/>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伪造购销合同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9" o:spid="_x0000_s1026" o:spt="1" style="position:absolute;left:0pt;margin-left:26pt;margin-top:10.1pt;height:23.5pt;width:195.5pt;mso-position-horizontal-relative:margin;z-index:251678720;v-text-anchor:middle;mso-width-relative:page;mso-height-relative:page;" filled="f" stroked="f" coordsize="21600,21600" o:gfxdata="UEsDBAoAAAAAAIdO4kAAAAAAAAAAAAAAAAAEAAAAZHJzL1BLAwQUAAAACACHTuJAuecca9cAAAAI&#10;AQAADwAAAGRycy9kb3ducmV2LnhtbE2PwU7DMBBE70j8g7VI3KhdU9oqxKkEEkKoB0Shd8feJhHx&#10;OrKdpP17zAmOs7OaeVPuzq5nE4bYeVKwXAhgSMbbjhoFX58vd1tgMWmyuveECi4YYVddX5W6sH6m&#10;D5wOqWE5hGKhFbQpDQXn0bTodFz4ASl7Jx+cTlmGhtug5xzuei6FWHOnO8oNrR7wuUXzfRidgqM/&#10;Pc3O1PQ2Xd678XUfjNnulbq9WYpHYAnP6e8ZfvEzOlSZqfYj2ch6BQ8yT0kKpJDAsr9a3edDrWC9&#10;kcCrkv8fUP0AUEsDBBQAAAAIAIdO4kBLOt1hVQIAALIEAAAOAAAAZHJzL2Uyb0RvYy54bWytVE1v&#10;2zAMvQ/YfxB0X5146ZoGdYqgQYcBxRqsG3ZWZCkWoK9JSpzu1+9Jdtug26GH5eCQIv1IPj366vpo&#10;NDmIEJWzDZ2eTSgRlrtW2V1Df3y//TCnJCZmW6adFQ19FJFeL9+/u+r9QtSuc7oVgQDExkXvG9ql&#10;5BdVFXknDItnzguLoHTBsAQ37Ko2sB7oRlf1ZPKp6l1ofXBcxIjT9RCkI2J4C6CTUnGxdnxvhE0D&#10;ahCaJYwUO+UjXZZupRQ83UsZRSK6oZg0lSeKwN7mZ7W8YotdYL5TfGyBvaWFVzMZpiyKPkOtWWJk&#10;H9RfUEbx4KKT6Yw7Uw2DFEYwxXTyipuHjnlRZgHV0T+THv8fLP962ASi2oZ+vKTEMoMb/wbWmN1p&#10;QXAGgnofF8h78JswehFmnvYog8n/mIMcC6mPz6SKYyIch/VsXs/PwTdHrL6cz2ADpnp524eYPgtn&#10;SDYaGlC+cMkOdzENqU8puZh1t0prnLOFtqSHhuuLScZnUKOECmAaj4mi3VHC9A4y5ykUyJN3M+Sa&#10;xY4cGLQRnVbtoAajEgSulWnofJJ/Y7vaouvMxTB9ttJxexwp2br2EUwGN0gsen6rUOGOxbRhAZpC&#10;h9i6dI+H1A5tu9GipHPh97/Ocz6uGlFKemgUbf7asyAo0V8sRHA5nc0Am4ozO7+o4YTTyPY0Yvfm&#10;xmHUKfbb82Lm/KSfTBmc+YnlXOWqCDHLUXsgb3Ru0rA7WG8uVquSBiF7lu7sg+cZfLii1T45qcrt&#10;ZaIGdkb+IOVy/+Pa5V059UvWy6dm+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55xxr1wAAAAgB&#10;AAAPAAAAAAAAAAEAIAAAACIAAABkcnMvZG93bnJldi54bWxQSwECFAAUAAAACACHTuJASzrdYVUC&#10;AACyBAAADgAAAAAAAAABACAAAAAmAQAAZHJzL2Uyb0RvYy54bWxQSwUGAAAAAAYABgBZAQAA7QUA&#10;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伪造购销合同</w:t>
                      </w:r>
                    </w:p>
                  </w:txbxContent>
                </v:textbox>
              </v:rect>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2059305</wp:posOffset>
                </wp:positionH>
                <wp:positionV relativeFrom="paragraph">
                  <wp:posOffset>149860</wp:posOffset>
                </wp:positionV>
                <wp:extent cx="935990" cy="756285"/>
                <wp:effectExtent l="0" t="0" r="16510" b="25400"/>
                <wp:wrapNone/>
                <wp:docPr id="1" name="流程图: 可选过程 13"/>
                <wp:cNvGraphicFramePr/>
                <a:graphic xmlns:a="http://schemas.openxmlformats.org/drawingml/2006/main">
                  <a:graphicData uri="http://schemas.microsoft.com/office/word/2010/wordprocessingShape">
                    <wps:wsp>
                      <wps:cNvSpPr/>
                      <wps:spPr>
                        <a:xfrm>
                          <a:off x="0" y="0"/>
                          <a:ext cx="936000" cy="756000"/>
                        </a:xfrm>
                        <a:prstGeom prst="flowChartAlternateProces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r>
                              <w:rPr>
                                <w:rFonts w:hint="eastAsia" w:ascii="宋体" w:hAnsi="宋体" w:eastAsia="宋体"/>
                                <w:b/>
                                <w:bCs/>
                                <w:sz w:val="24"/>
                                <w:szCs w:val="24"/>
                              </w:rPr>
                              <w:t>东方金钰及其控制的公司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left:162.15pt;margin-top:11.8pt;height:59.55pt;width:73.7pt;z-index:251670528;v-text-anchor:middle;mso-width-relative:page;mso-height-relative:page;" fillcolor="#C55A11 [2405]" filled="t" stroked="t" coordsize="21600,21600" o:gfxdata="UEsDBAoAAAAAAIdO4kAAAAAAAAAAAAAAAAAEAAAAZHJzL1BLAwQUAAAACACHTuJAckWBStkAAAAK&#10;AQAADwAAAGRycy9kb3ducmV2LnhtbE2PMU/DMBCFdyT+g3VIbNSOEzUoxOmAxFJYWkCIzY2vSdrY&#10;jmy3Kfx6jgnG0/v03nf16mJHdsYQB+8UZAsBDF3rzeA6BW+vT3f3wGLSzujRO1TwhRFWzfVVrSvj&#10;Z7fB8zZ1jEpcrLSCPqWp4jy2PVodF35CR9neB6sTnaHjJuiZyu3IpRBLbvXgaKHXEz722B63J6tA&#10;bNbP7wdfHtd7+ZGHF3P4nO23Urc3mXgAlvCS/mD41Sd1aMhp50/ORDYqyGWRE6pA5ktgBBRlVgLb&#10;EVnIEnhT8/8vND9QSwMEFAAAAAgAh07iQJUFsJe3AgAAaAUAAA4AAABkcnMvZTJvRG9jLnhtbK1U&#10;zW4TMRC+I/EOlu90k7Rp0qibKkoUhFRopII4O147a8l/2E425QSnCnHgAXgBbpy4wtOUn7dgbG9/&#10;QaIHLrszHs83M9/M+PBoqyTaMOeF0SXu7nQwYpqaSuhViV88nz8aYuQD0RWRRrMSnzGPj8YPHxw2&#10;dsR6pjayYg4BiPajxpa4DsGOisLTminid4xlGozcOEUCqG5VVI40gK5k0et09ovGuMo6Q5n3cDrL&#10;RtwiuvsAGs4FZTND14rpkFEdkyRASb4W1uNxypZzRsMJ554FJEsMlYb0hSAgL+O3GB+S0coRWwva&#10;pkDuk8KdmhQRGoJeQc1IIGjtxB9QSlBnvOFhhxpV5EISI1BFt3OHm9OaWJZqAaq9vSLd/z9Y+myz&#10;cEhUMAkYaaKg4d+/vP3x6f3Fx68jdPHh8683735+O4cD1N2NbDXWj8Dp1C5cq3kQY+lb7lT8Q1Fo&#10;mxg+u2KYbQOicHiwu9/pAPcUTIN+kgGluHa2zofHzCgUhRJzaZppTVyYyMCcJoEt8uQkssnm2Ifs&#10;f+kXE/BGimoupEyKWy2n0qENgQmY9vuTbjf5yrV6aqp8POjHpDKQz/dTUreApEYNsNQbpPwJTD6H&#10;iYNSlAX2vF5hROQKVooGlyLc8m5hc7zevN8bzvOlmlQsn8Yk/plFrHNGfJ1dUog8w0oAQUgKVeJh&#10;BLpEkhpKiU3LbYpS2C63be+WpjqD/juTF8NbOhcQ4Zj4sCAONgF6BW9FOIFP7EWJTSthVBv3+m/n&#10;8T4MKFgxamCzgJxXa+IYRvKJhtE96O7txVVMyl5/0APF3bQsb1r0Wk0NtA7GE7JLYrwf5KXInVEv&#10;4UmZxKhgIppC7NyGVpmGvPHwKFE2maRrsH6WhGN9amkEj6OizWQdDBdppCJRmZ2WP1jANBTtYxE3&#10;/Kaebl0/kO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ckWBStkAAAAKAQAADwAAAAAAAAABACAA&#10;AAAiAAAAZHJzL2Rvd25yZXYueG1sUEsBAhQAFAAAAAgAh07iQJUFsJe3AgAAaAUAAA4AAAAAAAAA&#10;AQAgAAAAKAEAAGRycy9lMm9Eb2MueG1sUEsFBgAAAAAGAAYAWQEAAFEGAAAAAA==&#10;">
                <v:fill on="t" focussize="0,0"/>
                <v:stroke weight="1pt" color="#2F528F [3204]" miterlimit="8" joinstyle="miter"/>
                <v:imagedata o:title=""/>
                <o:lock v:ext="edit" aspectratio="f"/>
                <v:textbox>
                  <w:txbxContent>
                    <w:p>
                      <w:pPr>
                        <w:jc w:val="center"/>
                        <w:rPr>
                          <w:b/>
                          <w:bCs/>
                        </w:rPr>
                      </w:pPr>
                      <w:r>
                        <w:rPr>
                          <w:rFonts w:hint="eastAsia" w:ascii="宋体" w:hAnsi="宋体" w:eastAsia="宋体"/>
                          <w:b/>
                          <w:bCs/>
                          <w:sz w:val="24"/>
                          <w:szCs w:val="24"/>
                        </w:rPr>
                        <w:t>东方金钰及其控制的公司</w:t>
                      </w:r>
                    </w:p>
                  </w:txbxContent>
                </v:textbox>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76672" behindDoc="0" locked="0" layoutInCell="1" allowOverlap="1">
                <wp:simplePos x="0" y="0"/>
                <wp:positionH relativeFrom="column">
                  <wp:posOffset>1143000</wp:posOffset>
                </wp:positionH>
                <wp:positionV relativeFrom="paragraph">
                  <wp:posOffset>197485</wp:posOffset>
                </wp:positionV>
                <wp:extent cx="864235" cy="0"/>
                <wp:effectExtent l="38100" t="76200" r="12700" b="95250"/>
                <wp:wrapNone/>
                <wp:docPr id="16" name="Straight Arrow Connector 16"/>
                <wp:cNvGraphicFramePr/>
                <a:graphic xmlns:a="http://schemas.openxmlformats.org/drawingml/2006/main">
                  <a:graphicData uri="http://schemas.microsoft.com/office/word/2010/wordprocessingShape">
                    <wps:wsp>
                      <wps:cNvCnPr/>
                      <wps:spPr>
                        <a:xfrm>
                          <a:off x="0" y="0"/>
                          <a:ext cx="864000" cy="0"/>
                        </a:xfrm>
                        <a:prstGeom prst="straightConnector1">
                          <a:avLst/>
                        </a:prstGeom>
                        <a:ln w="12700">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o:spt="32" type="#_x0000_t32" style="position:absolute;left:0pt;margin-left:90pt;margin-top:15.55pt;height:0pt;width:68.05pt;z-index:251676672;mso-width-relative:page;mso-height-relative:page;" filled="f" stroked="t" coordsize="21600,21600" o:gfxdata="UEsDBAoAAAAAAIdO4kAAAAAAAAAAAAAAAAAEAAAAZHJzL1BLAwQUAAAACACHTuJAAvMGddcAAAAJ&#10;AQAADwAAAGRycy9kb3ducmV2LnhtbE2PS0/DMBCE70j8B2uRuFHbjRSVNE7FQz0g9UILokc3XpKI&#10;eB3FTh//nkUc4LazO5r9plydfS+OOMYukAE9UyCQ6uA6agy87dZ3CxAxWXK2D4QGLhhhVV1flbZw&#10;4USveNymRnAIxcIaaFMaCilj3aK3cRYGJL59htHbxHJspBvticN9L+dK5dLbjvhDawd8arH+2k7e&#10;wP1m2s+zh5fLx2OI6z7X8f05bIy5vdFqCSLhOf2Z4Qef0aFipkOYyEXRs14o7pIMZFqDYEOmcx4O&#10;vwtZlfJ/g+obUEsDBBQAAAAIAIdO4kA8K2wV9QEAAAEEAAAOAAAAZHJzL2Uyb0RvYy54bWytU8tu&#10;2zAQvBfoPxC815INwwkMy0FhN70UbYC0H7CmKIkAX9hlLPvvu6QcJ017yKEXieRyZ3ZGo83dyVlx&#10;1Egm+EbOZ7UU2qvQGt838tfP+0+3UlAC34INXjfyrEnebT9+2IxxrRdhCLbVKBjE03qMjRxSiuuq&#10;IjVoBzQLUXsudgEdJN5iX7UII6M7Wy3qelWNAduIQWkiPt1PRXlBxPcAhq4zSu+DenLapwkVtYXE&#10;kmgwkeS2TNt1WqUfXUc6CdtIVprKk0l4fcjParuBdY8QB6MuI8B7RnijyYHxTHqF2kMC8YTmLyhn&#10;FAYKXZqp4KpJSHGEVczrN948DhB10cJWU7yaTv8PVn0/PqAwLSdhJYUHx1/8MSGYfkjiM2IYxS54&#10;zz4GFHyF/Rojrblt5x/wsqP4gFn8qUOX3yxLnIrH56vH+pSE4sPb1bKu2X31XKpe+iJS+qqDE3nR&#10;SLrMcR1gXiyG4zdKzMyNzw2Z1Id7Y235ntaLkQUtbgoRcEg7DgdzushCyfdSgO05/SphgaRgTZvb&#10;MxBhf9hZFEfgzCyXN4vdMstmuj+uZe490DDda3k1hcmZxP+HNY61slIeocw0aGi/+Fakc2SLExrw&#10;vdVTLYGx/64xqfXMnT2fXM6rQ2jPxfxyzsko011SnKP3el+6X/7c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8wZ11wAAAAkBAAAPAAAAAAAAAAEAIAAAACIAAABkcnMvZG93bnJldi54bWxQSwEC&#10;FAAUAAAACACHTuJAPCtsFfUBAAABBAAADgAAAAAAAAABACAAAAAmAQAAZHJzL2Uyb0RvYy54bWxQ&#10;SwUGAAAAAAYABgBZAQAAjQUAAAAA&#10;">
                <v:fill on="f" focussize="0,0"/>
                <v:stroke weight="1pt" color="#4472C4 [3204]" miterlimit="8" joinstyle="miter" dashstyle="dash" startarrow="block" endarrow="block"/>
                <v:imagedata o:title=""/>
                <o:lock v:ext="edit" aspectratio="f"/>
              </v:shap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3105150</wp:posOffset>
                </wp:positionH>
                <wp:positionV relativeFrom="paragraph">
                  <wp:posOffset>224790</wp:posOffset>
                </wp:positionV>
                <wp:extent cx="864235" cy="0"/>
                <wp:effectExtent l="38100" t="76200" r="12700" b="95250"/>
                <wp:wrapNone/>
                <wp:docPr id="18" name="Straight Arrow Connector 18"/>
                <wp:cNvGraphicFramePr/>
                <a:graphic xmlns:a="http://schemas.openxmlformats.org/drawingml/2006/main">
                  <a:graphicData uri="http://schemas.microsoft.com/office/word/2010/wordprocessingShape">
                    <wps:wsp>
                      <wps:cNvCnPr/>
                      <wps:spPr>
                        <a:xfrm>
                          <a:off x="0" y="0"/>
                          <a:ext cx="864000" cy="0"/>
                        </a:xfrm>
                        <a:prstGeom prst="straightConnector1">
                          <a:avLst/>
                        </a:prstGeom>
                        <a:ln w="12700">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o:spt="32" type="#_x0000_t32" style="position:absolute;left:0pt;margin-left:244.5pt;margin-top:17.7pt;height:0pt;width:68.05pt;z-index:251677696;mso-width-relative:page;mso-height-relative:page;" filled="f" stroked="t" coordsize="21600,21600" o:gfxdata="UEsDBAoAAAAAAIdO4kAAAAAAAAAAAAAAAAAEAAAAZHJzL1BLAwQUAAAACACHTuJAZBW7BNkAAAAJ&#10;AQAADwAAAGRycy9kb3ducmV2LnhtbE2PS0/DMBCE70j8B2uRuFEnaRu1IU7FQz0g9UJpBUc3XpII&#10;ex1lnT7+PUYc4Dg7o9lvytXZWXHEgTtPCtJJAgKp9qajRsHubX23AMFBk9HWEyq4IMOqur4qdWH8&#10;iV7xuA2NiCXEhVbQhtAXUnLdotM88T1S9D794HSIcmikGfQpljsrsyTJpdMdxQ+t7vGpxfprOzoF&#10;y834kU0fXi7vj57XNk95/+w3St3epMk9iIDn8BeGH/yIDlVkOviRDAurYLZYxi1BwXQ+AxEDeTZP&#10;QRx+D7Iq5f8F1TdQSwMEFAAAAAgAh07iQGLmWCX1AQAAAQQAAA4AAABkcnMvZTJvRG9jLnhtbK1T&#10;TW/bMAy9D9h/EHRf7ARBWwRxiiFZdxm2AN1+ACPLtgB9gVTj5N+PktO063boYRebEsX3+J6o9f3J&#10;WXHUSCb4Rs5ntRTaq9Aa3zfy18+HT3dSUALfgg1eN/KsSd5vPn5Yj3GlF2EIttUoGMTTaoyNHFKK&#10;q6oiNWgHNAtRe052AR0kXmJftQgjoztbLer6phoDthGD0kS8u5uS8oKI7wEMXWeU3gX15LRPEypq&#10;C4kl0WAiyU3ptuu0Sj+6jnQStpGsNJUvk3B8yN9qs4ZVjxAHoy4twHtaeKPJgfFMeoXaQQLxhOYv&#10;KGcUBgpdmqngqklIcYRVzOs33jwOEHXRwlZTvJpO/w9WfT/uUZiWJ4Hv3YPjG39MCKYfkviMGEax&#10;Dd6zjwEFH2G/xkgrLtv6PV5WFPeYxZ86dPnPssSpeHy+eqxPSSjevLtZ1jW7r55T1UtdREpfdXAi&#10;B42kSx/XBubFYjh+o8TMXPhckEl9eDDWlvu0XowsaHFbiICHtOPhYE4XWSj5XgqwPU+/SlggKVjT&#10;5vIMRNgfthbFEXhmlsvbxXaZZTPdH8cy9w5omM61HE3D5Ezi92GNY62slFsoPQ0a2i++Fekc2eKE&#10;Bnxv9ZRLYOy/c0xqPXNnzyeXc3QI7bmYX/Z5Mkp3lynOo/d6XapfXu7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QVuwTZAAAACQEAAA8AAAAAAAAAAQAgAAAAIgAAAGRycy9kb3ducmV2LnhtbFBL&#10;AQIUABQAAAAIAIdO4kBi5lgl9QEAAAEEAAAOAAAAAAAAAAEAIAAAACgBAABkcnMvZTJvRG9jLnht&#10;bFBLBQYAAAAABgAGAFkBAACPBQAAAAA=&#10;">
                <v:fill on="f" focussize="0,0"/>
                <v:stroke weight="1pt" color="#4472C4 [3204]" miterlimit="8" joinstyle="miter" dashstyle="dash" startarrow="block" endarrow="block"/>
                <v:imagedata o:title=""/>
                <o:lock v:ext="edit" aspectratio="f"/>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4115435</wp:posOffset>
                </wp:positionH>
                <wp:positionV relativeFrom="paragraph">
                  <wp:posOffset>55245</wp:posOffset>
                </wp:positionV>
                <wp:extent cx="1007745" cy="316865"/>
                <wp:effectExtent l="0" t="0" r="20955" b="26035"/>
                <wp:wrapNone/>
                <wp:docPr id="4" name="流程图: 可选过程 13"/>
                <wp:cNvGraphicFramePr/>
                <a:graphic xmlns:a="http://schemas.openxmlformats.org/drawingml/2006/main">
                  <a:graphicData uri="http://schemas.microsoft.com/office/word/2010/wordprocessingShape">
                    <wps:wsp>
                      <wps:cNvSpPr/>
                      <wps:spPr>
                        <a:xfrm>
                          <a:off x="0" y="0"/>
                          <a:ext cx="1008000" cy="31686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b/>
                                <w:bCs/>
                                <w:sz w:val="24"/>
                                <w:szCs w:val="24"/>
                              </w:rPr>
                            </w:pPr>
                            <w:r>
                              <w:rPr>
                                <w:rFonts w:hint="eastAsia" w:ascii="宋体" w:hAnsi="宋体" w:eastAsia="宋体"/>
                                <w:b/>
                                <w:bCs/>
                                <w:sz w:val="24"/>
                                <w:szCs w:val="24"/>
                              </w:rPr>
                              <w:t>名义客户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left:324.05pt;margin-top:4.35pt;height:24.95pt;width:79.35pt;z-index:251671552;v-text-anchor:middle;mso-width-relative:page;mso-height-relative:page;" fillcolor="#4472C4 [3204]" filled="t" stroked="t" coordsize="21600,21600" o:gfxdata="UEsDBAoAAAAAAIdO4kAAAAAAAAAAAAAAAAAEAAAAZHJzL1BLAwQUAAAACACHTuJAclB5KdcAAAAI&#10;AQAADwAAAGRycy9kb3ducmV2LnhtbE2PzU7DMBCE70i8g7VI3KidCoIVsqlEpYoDXNoiIW5ubJKA&#10;vQ6x+/f2LCc4jmY08029OAUvDm5KQySEYqZAOGqjHahDeN2ubjSIlA1Z4yM5hLNLsGguL2pT2Xik&#10;tTtscie4hFJlEPqcx0rK1PYumDSLoyP2PuIUTGY5ddJO5sjlwcu5UqUMZiBe6M3olr1rvzb7gGDO&#10;j/bbP6en9cvqfd7lz7dlToR4fVWoBxDZnfJfGH7xGR0aZtrFPdkkPEJ5qwuOIuh7EOxrVfKVHcKd&#10;LkE2tfx/oPkBUEsDBBQAAAAIAIdO4kBM7vWGswIAAEcFAAAOAAAAZHJzL2Uyb0RvYy54bWytVM1u&#10;EzEQviPxDpbvdHfTTRtW3VRRoiCkikYqiLPj9WYt+Q/byaac4IQQBx6AF+DGiSs8Tfl5C8bebZoW&#10;Dj1w2Z3xjL+Z+WbGJ6dbKdCGWce1KnF2kGLEFNUVV6sSv3g+fzTCyHmiKiK0YiW+ZA6fjh8+OGlN&#10;wQa60aJiFgGIckVrStx4b4okcbRhkrgDbZgCY62tJB5Uu0oqS1pAlyIZpOlR0mpbGaspcw5OZ50R&#10;94j2PoC6rjllM03XkinfoVomiIeSXMONw+OYbV0z6s/r2jGPRImhUh+/EATkZfgm4xNSrCwxDad9&#10;CuQ+KdypSRKuIOgOakY8QWvL/4KSnFrtdO0PqJZJV0hkBKrI0jvcXDTEsFgLUO3MjnT3/2Dps83C&#10;Il6VOMdIEQkN//H17c/PH64+fSvQ1ccvv9+8//X9HRyg7DCw1RpXwKULs7C95kAMpW9rK8MfikLb&#10;yPDljmG29YjCYZamozQF8inYDrOj0dEwgCY3t411/gnTEgWhxLXQ7bQh1k+EZ1YRzxbd6ES2yebM&#10;+e7+9b2QgdOCV3MuRFTsajkVFm0IjECeHw+meR/ylptQqIX8BscxOwKDXcNAQaLSADlOrTAiYgUb&#10;Q72NsW/ddvtBBvPhYDTvnBpSsS70EOqO8wbF9u6x8Fs4oYoZcU13JZpCsqSQHMpHgssSBwJ3SEIB&#10;SOhJ14Ug+e1y27dmqatLaK/V3dw7Q+ccIpwR5xfEwqBDJ+Ap8OfwCUyXWPcSRo22r/91Hvxh/sCK&#10;UQuLA+S8WhPLMBJPFUzm4yzPw6ZFJR8eD0Cx+5blvkWt5VRDYzJ4dAyNYvD34lqsrZYv4cWYhKhg&#10;IopC7K4NvTL13ULDm0PZZBLdYLsM8WfqwtAAHihUerL2uuZxYAJRHTs9f7BfsR39WxAWeF+PXjfv&#10;3/g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clB5KdcAAAAIAQAADwAAAAAAAAABACAAAAAiAAAA&#10;ZHJzL2Rvd25yZXYueG1sUEsBAhQAFAAAAAgAh07iQEzu9YazAgAARwUAAA4AAAAAAAAAAQAgAAAA&#10;JgEAAGRycy9lMm9Eb2MueG1sUEsFBgAAAAAGAAYAWQEAAEsGAAAAAA==&#10;">
                <v:fill on="t" focussize="0,0"/>
                <v:stroke weight="1pt" color="#2F528F [3204]" miterlimit="8" joinstyle="miter"/>
                <v:imagedata o:title=""/>
                <o:lock v:ext="edit" aspectratio="f"/>
                <v:textbox>
                  <w:txbxContent>
                    <w:p>
                      <w:pPr>
                        <w:jc w:val="center"/>
                        <w:rPr>
                          <w:rFonts w:ascii="宋体" w:hAnsi="宋体" w:eastAsia="宋体"/>
                          <w:b/>
                          <w:bCs/>
                          <w:sz w:val="24"/>
                          <w:szCs w:val="24"/>
                        </w:rPr>
                      </w:pPr>
                      <w:r>
                        <w:rPr>
                          <w:rFonts w:hint="eastAsia" w:ascii="宋体" w:hAnsi="宋体" w:eastAsia="宋体"/>
                          <w:b/>
                          <w:bCs/>
                          <w:sz w:val="24"/>
                          <w:szCs w:val="24"/>
                        </w:rPr>
                        <w:t>名义客户</w:t>
                      </w:r>
                    </w:p>
                  </w:txbxContent>
                </v:textbox>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margin">
                  <wp:posOffset>-3810</wp:posOffset>
                </wp:positionH>
                <wp:positionV relativeFrom="paragraph">
                  <wp:posOffset>53340</wp:posOffset>
                </wp:positionV>
                <wp:extent cx="998220" cy="316865"/>
                <wp:effectExtent l="0" t="0" r="11430" b="26035"/>
                <wp:wrapNone/>
                <wp:docPr id="13" name="流程图: 可选过程 13"/>
                <wp:cNvGraphicFramePr/>
                <a:graphic xmlns:a="http://schemas.openxmlformats.org/drawingml/2006/main">
                  <a:graphicData uri="http://schemas.microsoft.com/office/word/2010/wordprocessingShape">
                    <wps:wsp>
                      <wps:cNvSpPr/>
                      <wps:spPr>
                        <a:xfrm>
                          <a:off x="0" y="0"/>
                          <a:ext cx="998220" cy="31686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b/>
                                <w:bCs/>
                                <w:sz w:val="24"/>
                                <w:szCs w:val="24"/>
                              </w:rPr>
                            </w:pPr>
                            <w:r>
                              <w:rPr>
                                <w:rFonts w:hint="eastAsia" w:ascii="宋体" w:hAnsi="宋体" w:eastAsia="宋体"/>
                                <w:b/>
                                <w:bCs/>
                                <w:sz w:val="24"/>
                                <w:szCs w:val="24"/>
                              </w:rPr>
                              <w:t>名义供应商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0.3pt;margin-top:4.2pt;height:24.95pt;width:78.6pt;mso-position-horizontal-relative:margin;z-index:251669504;v-text-anchor:middle;mso-width-relative:page;mso-height-relative:page;" fillcolor="#4472C4 [3204]" filled="t" stroked="t" coordsize="21600,21600" o:gfxdata="UEsDBAoAAAAAAIdO4kAAAAAAAAAAAAAAAAAEAAAAZHJzL1BLAwQUAAAACACHTuJA9VxzWNQAAAAG&#10;AQAADwAAAGRycy9kb3ducmV2LnhtbE2OTU/DMBBE70j8B2uRuLVOC42ikE0lKlUc4NKChLht4yUJ&#10;2OsQu1//HvcEx9GM3rxqeXJWHXgMvReE2TQDxdJ400uL8Pa6nhSgQiQxZL0wwpkDLOvrq4pK44+y&#10;4cM2tipBJJSE0MU4lFqHpmNHYeoHltR9+tFRTHFstRnpmODO6nmW5dpRL+mho4FXHTff271DoPOj&#10;+bHP4Wnzsv6Yt/HrfRWDIN7ezLIHUJFP8W8MF/2kDnVy2vm9mKAswiRPQ4TiHtSlXeQp7xAWxR3o&#10;utL/9etfUEsDBBQAAAAIAIdO4kAUV8YksgIAAEcFAAAOAAAAZHJzL2Uyb0RvYy54bWytVM1uEzEQ&#10;viPxDpbvdJNt0qarbqooURBSBZEK4ux4vVlL/sN2siknOCHEgQfgBbhx4gpPU37egrG9adPCoQdy&#10;2Iw9M994vvk5PdtKgTbMOq5VifsHPYyYorrialXiF8/nj0YYOU9URYRWrMSXzOGz8cMHp60pWK4b&#10;LSpmEYAoV7SmxI33psgyRxsmiTvQhilQ1tpK4uFoV1llSQvoUmR5r3eUtdpWxmrKnIPbWVLiDtHe&#10;B1DXNadspulaMuUTqmWCeEjJNdw4PI6vrWtG/bO6dswjUWLI1McvBAF5Gb7Z+JQUK0tMw2n3BHKf&#10;J9zJSRKuIOg11Ix4gtaW/wUlObXa6dofUC2zlEhkBLLo9+5wc9EQw2IuQLUz16S7/wdLn24WFvEK&#10;OuEQI0UkVPzH17c/P3+4+vStQFcfv/x+8/7X93dwgcAC6GqNK8Drwixsd3Ighty3tZXhH7JC20jx&#10;5TXFbOsRhcuTk1GeA/kUVIf9o9HRMGBmN87GOv+YaYmCUOJa6HbaEOsnwjOriGeL1DqRbbI5dz75&#10;7/zCA5wWvJpzIeLBrpZTYdGGQAsMBsf5dNCFvGUmFGqBhPy4F15HoLFraCgQpQFynFphRMQKJoZ6&#10;G2Pf8nb7QfL5MB/Nk1FDKpZCD3vw20VO5jHxWzghixlxTXKJquBCCskhfSS4LPEoAO2QhAKQUJJU&#10;hCD57XLbVWapq0sor9Wp752hcw4RzonzC2Kh0SFXWAX+GXwC0yXWnYRRo+3rf90He+g/0GLUwuAA&#10;Oa/WxDKMxBMFnXnSHwwA1sfDYHgcqm33Nct9jVrLqYbC9GHpGBrFYO/FTqytli9hY0xCVFARRSF2&#10;KkN3mPo00LBzKJtMohlMlyH+XF0YGsADhUpP1l7XPDZMICqx0/EH8xXL0e2CMMD752h1s//G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1XHNY1AAAAAYBAAAPAAAAAAAAAAEAIAAAACIAAABkcnMv&#10;ZG93bnJldi54bWxQSwECFAAUAAAACACHTuJAFFfGJLICAABHBQAADgAAAAAAAAABACAAAAAjAQAA&#10;ZHJzL2Uyb0RvYy54bWxQSwUGAAAAAAYABgBZAQAARwYAAAAA&#10;">
                <v:fill on="t" focussize="0,0"/>
                <v:stroke weight="1pt" color="#2F528F [3204]" miterlimit="8" joinstyle="miter"/>
                <v:imagedata o:title=""/>
                <o:lock v:ext="edit" aspectratio="f"/>
                <v:textbox>
                  <w:txbxContent>
                    <w:p>
                      <w:pPr>
                        <w:jc w:val="center"/>
                        <w:rPr>
                          <w:rFonts w:ascii="宋体" w:hAnsi="宋体" w:eastAsia="宋体"/>
                          <w:b/>
                          <w:bCs/>
                          <w:sz w:val="24"/>
                          <w:szCs w:val="24"/>
                        </w:rPr>
                      </w:pPr>
                      <w:r>
                        <w:rPr>
                          <w:rFonts w:hint="eastAsia" w:ascii="宋体" w:hAnsi="宋体" w:eastAsia="宋体"/>
                          <w:b/>
                          <w:bCs/>
                          <w:sz w:val="24"/>
                          <w:szCs w:val="24"/>
                        </w:rPr>
                        <w:t>名义供应商</w:t>
                      </w:r>
                    </w:p>
                  </w:txbxContent>
                </v:textbox>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81792" behindDoc="0" locked="0" layoutInCell="1" allowOverlap="1">
                <wp:simplePos x="0" y="0"/>
                <wp:positionH relativeFrom="margin">
                  <wp:posOffset>2311400</wp:posOffset>
                </wp:positionH>
                <wp:positionV relativeFrom="paragraph">
                  <wp:posOffset>49530</wp:posOffset>
                </wp:positionV>
                <wp:extent cx="2482850" cy="298450"/>
                <wp:effectExtent l="0" t="0" r="0" b="0"/>
                <wp:wrapNone/>
                <wp:docPr id="51" name="Rectangle 51"/>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虚构资金收款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1" o:spid="_x0000_s1026" o:spt="1" style="position:absolute;left:0pt;margin-left:182pt;margin-top:3.9pt;height:23.5pt;width:195.5pt;mso-position-horizontal-relative:margin;z-index:251681792;v-text-anchor:middle;mso-width-relative:page;mso-height-relative:page;" filled="f" stroked="f" coordsize="21600,21600" o:gfxdata="UEsDBAoAAAAAAIdO4kAAAAAAAAAAAAAAAAAEAAAAZHJzL1BLAwQUAAAACACHTuJAEoSVmdYAAAAI&#10;AQAADwAAAGRycy9kb3ducmV2LnhtbE2PQUvDQBCF74L/YRnBm91UmzakmRQURKQHsep9s7tNQrOz&#10;IbtJ2n/veLLHxxvefF+xO7tOTHYIrSeE5SIBYUl701KN8P31+pCBCFGRUZ0ni3CxAXbl7U2hcuNn&#10;+rTTIdaCRyjkCqGJsc+lDLqxToWF7y1xd/SDU5HjUEszqJnHXScfk2QtnWqJPzSqty+N1afD6BB+&#10;/PF5drqi9+ny0Y5v+0HrbI94f7dMtiCiPcf/Y/jDZ3QomanyI5kgOoSn9YpdIsKGDbjfpCnnCiFd&#10;ZSDLQl4LlL9QSwMEFAAAAAgAh07iQGiuYotUAgAAsgQAAA4AAABkcnMvZTJvRG9jLnhtbK1UTW/b&#10;MAy9D9h/EHRfnRjpmgZ1iqBBhwHFWjQbdlZkKRagr0lKnO7X70l226DboYfl4JAi/Ug+Pfrq+mg0&#10;OYgQlbMNnZ5NKBGWu1bZXUN/fL/9NKckJmZbpp0VDX0SkV4vP3646v1C1K5zuhWBAMTGRe8b2qXk&#10;F1UVeScMi2fOC4ugdMGwBDfsqjawHuhGV/Vk8rnqXWh9cFzEiNP1EKQjYngPoJNScbF2fG+ETQNq&#10;EJoljBQ75SNdlm6lFDzdSxlFIrqhmDSVJ4rA3uZntbxii11gvlN8bIG9p4U3MxmmLIq+QK1ZYmQf&#10;1F9QRvHgopPpjDtTDYMURjDFdPKGm03HvCizgOroX0iP/w+Wfzs8BKLahp5PKbHM4MYfwRqzOy0I&#10;zkBQ7+MCeRv/EEYvwszTHmUw+R9zkGMh9emFVHFMhOOwns3r+Tn45ojVl/MZbMBUr2/7ENMX4QzJ&#10;RkMDyhcu2eEupiH1OSUXs+5WaY1zttCW9NBwfTHJ+AxqlFABTOMxUbQ7SpjeQeY8hQJ58m6GXLPY&#10;kQODNqLTqh3UYFSCwLUyDZ1P8m9sV1t0nbkYps9WOm6PIyVb1z6ByeAGiUXPbxUq3LGYHliAptAh&#10;ti7d4yG1Q9tutCjpXPj9r/Ocj6tGlJIeGkWbv/YsCEr0VwsRXE5nM8Cm4szOL2o44TSyPY3Yvblx&#10;GBX3jO6KmfOTfjZlcOYnlnOVqyLELEftgbzRuUnD7mC9uVitShqE7Fm6sxvPM/hwRat9clKV28tE&#10;DeyM/EHK5f7Htcu7cuqXrNdPzf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oSVmdYAAAAIAQAA&#10;DwAAAAAAAAABACAAAAAiAAAAZHJzL2Rvd25yZXYueG1sUEsBAhQAFAAAAAgAh07iQGiuYotUAgAA&#10;sgQAAA4AAAAAAAAAAQAgAAAAJQEAAGRycy9lMm9Eb2MueG1sUEsFBgAAAAAGAAYAWQEAAOsFAAAA&#10;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虚构资金收款</w:t>
                      </w:r>
                    </w:p>
                  </w:txbxContent>
                </v:textbox>
              </v:rect>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margin">
                  <wp:posOffset>330200</wp:posOffset>
                </wp:positionH>
                <wp:positionV relativeFrom="paragraph">
                  <wp:posOffset>49530</wp:posOffset>
                </wp:positionV>
                <wp:extent cx="2482850" cy="298450"/>
                <wp:effectExtent l="0" t="0" r="0" b="0"/>
                <wp:wrapNone/>
                <wp:docPr id="50" name="Rectangle 50"/>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虚构资金付款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0" o:spid="_x0000_s1026" o:spt="1" style="position:absolute;left:0pt;margin-left:26pt;margin-top:3.9pt;height:23.5pt;width:195.5pt;mso-position-horizontal-relative:margin;z-index:251680768;v-text-anchor:middle;mso-width-relative:page;mso-height-relative:page;" filled="f" stroked="f" coordsize="21600,21600" o:gfxdata="UEsDBAoAAAAAAIdO4kAAAAAAAAAAAAAAAAAEAAAAZHJzL1BLAwQUAAAACACHTuJAKOP1ytUAAAAH&#10;AQAADwAAAGRycy9kb3ducmV2LnhtbE2PwU7DMBBE70j8g7VI3KjTEiAKcSqBhBDqAbXA3bG3SUS8&#10;jmwnaf+e5QTH2RnNvqm2JzeIGUPsPSlYrzIQSMbbnloFnx8vNwWImDRZPXhCBWeMsK0vLypdWr/Q&#10;HudDagWXUCy1gi6lsZQymg6djis/IrF39MHpxDK00ga9cLkb5CbL7qXTPfGHTo/43KH5PkxOwZc/&#10;Pi3ONPQ2n9/76XUXjCl2Sl1frbNHEAlP6S8Mv/iMDjUzNX4iG8Wg4G7DU5KCBx7Adp7fsm74nhcg&#10;60r+569/AFBLAwQUAAAACACHTuJAvIMju1MCAACyBAAADgAAAGRycy9lMm9Eb2MueG1srVRNb9sw&#10;DL0P2H8QdF+dGOmaBnWKoEGHAcVaNBt2VmQpFqCvSUqc7tfvSXbboNuhh+VgkyL9SD495ur6aDQ5&#10;iBCVsw2dnk0oEZa7VtldQ398v/00pyQmZlumnRUNfRKRXi8/frjq/ULUrnO6FYEAxMZF7xvapeQX&#10;VRV5JwyLZ84Li6B0wbAEN+yqNrAe6EZX9WTyuepdaH1wXMSI0/UQpCNieA+gk1JxsXZ8b4RNA2oQ&#10;miWMFDvlI12WbqUUPN1LGUUiuqGYNJUnisDe5me1vGKLXWC+U3xsgb2nhTczGaYsir5ArVliZB/U&#10;X1BG8eCik+mMO1MNgxRGMMV08oabTce8KLOA6uhfSI//D5Z/OzwEotqGnoMSywxu/BGsMbvTguAM&#10;BPU+LpC38Q9h9CLMPO1RBpPfmIMcC6lPL6SKYyIch/VsXs8zOEesvpzPBtDq9WsfYvoinCHZaGhA&#10;+cIlO9zFhIpIfU7Jxay7VVqXi9OW9NBwfTHJ+AxqlFABTOMxUbQ7SpjeQeY8hQJ58m2GXLPYkQOD&#10;NqLTqh3UYFSCwLUyDZ1P8i8fowdt8cpcDNNnKx23x5GSrWufwGRwg8Si57cKFe5YTA8sQFPoEFuX&#10;7vGQ2qFtN1qUdC78/td5zsdVI0pJD42izV97FgQl+quFCC6nsxlgU3Fm5xc1nHAa2Z5G7N7cOIw6&#10;xX57Xsycn/SzKYMzP7Gcq1wVIWY5ag/kjc5NGnYH683FalXSIGTP0p3deJ7Bhyta7ZOTqtxeJmpg&#10;Z+QPUi6EjmuXd+XUL1mvfzX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jj9crVAAAABwEAAA8A&#10;AAAAAAAAAQAgAAAAIgAAAGRycy9kb3ducmV2LnhtbFBLAQIUABQAAAAIAIdO4kC8gyO7UwIAALIE&#10;AAAOAAAAAAAAAAEAIAAAACQBAABkcnMvZTJvRG9jLnhtbFBLBQYAAAAABgAGAFkBAADpBQA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虚构资金付款</w:t>
                      </w:r>
                    </w:p>
                  </w:txbxContent>
                </v:textbox>
              </v:rect>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488950</wp:posOffset>
                </wp:positionH>
                <wp:positionV relativeFrom="paragraph">
                  <wp:posOffset>192405</wp:posOffset>
                </wp:positionV>
                <wp:extent cx="1574800" cy="952500"/>
                <wp:effectExtent l="19050" t="0" r="44450" b="95250"/>
                <wp:wrapNone/>
                <wp:docPr id="41" name="Connector: Elbow 41"/>
                <wp:cNvGraphicFramePr/>
                <a:graphic xmlns:a="http://schemas.openxmlformats.org/drawingml/2006/main">
                  <a:graphicData uri="http://schemas.microsoft.com/office/word/2010/wordprocessingShape">
                    <wps:wsp>
                      <wps:cNvCnPr/>
                      <wps:spPr>
                        <a:xfrm>
                          <a:off x="0" y="0"/>
                          <a:ext cx="1574800" cy="952500"/>
                        </a:xfrm>
                        <a:prstGeom prst="bentConnector3">
                          <a:avLst>
                            <a:gd name="adj1" fmla="val -224"/>
                          </a:avLst>
                        </a:prstGeom>
                        <a:ln w="1270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or: Elbow 41" o:spid="_x0000_s1026" o:spt="34" type="#_x0000_t34" style="position:absolute;left:0pt;margin-left:38.5pt;margin-top:15.15pt;height:75pt;width:124pt;z-index:251673600;mso-width-relative:page;mso-height-relative:page;" filled="f" stroked="t" coordsize="21600,21600" o:gfxdata="UEsDBAoAAAAAAIdO4kAAAAAAAAAAAAAAAAAEAAAAZHJzL1BLAwQUAAAACACHTuJAg+sxHdgAAAAJ&#10;AQAADwAAAGRycy9kb3ducmV2LnhtbE2PS0/DMBCE70j9D9ZW4kbtNLQpIU6lIiFx4UBBiN7cePNQ&#10;43UUuy9+PcsJjjszmv2mWF9cL044hs6ThmSmQCBV3nbUaPh4f75bgQjRkDW9J9RwxQDrcnJTmNz6&#10;M73haRsbwSUUcqOhjXHIpQxVi86EmR+Q2Kv96Ezkc2ykHc2Zy10v50otpTMd8YfWDPjUYnXYHp2G&#10;3WJD9fU7oU97b1++lvVDtktftb6dJuoRRMRL/AvDLz6jQ8lMe38kG0SvIct4StSQqhQE++l8wcKe&#10;gytWZFnI/wvKH1BLAwQUAAAACACHTuJALwBj+gUCAAALBAAADgAAAGRycy9lMm9Eb2MueG1srVPL&#10;btswELwX6D8QvMeyVbtOBMs52EkvRWug7Qes+ZBY8AWSsey/75JSnDa55FAdqOVrdmZ2ubk/G01O&#10;IkTlbEsXszklwjLHle1a+uvn480tJTGB5aCdFS29iEjvtx8/bAbfiNr1TnMRCILY2Ay+pX1Kvqmq&#10;yHphIM6cFxY3pQsGEk5DV/EAA6IbXdXz+edqcIH74JiIEVf34yadEMN7AJ2Uiom9Y09G2DSiBqEh&#10;oaTYKx/ptrCVUrD0XcooEtEtRaWpjJgE42Meq+0Gmi6A7xWbKMB7KLzSZEBZTHqF2kMC8hTUGyij&#10;WHDRyTRjzlSjkOIIqljMX3nzowcviha0Ovqr6fH/wbJvp0Mgird0uaDEgsGK75y1aJwLDXnQRzcQ&#10;3EKfBh8bPL6zhzDNoj+ELPosg8l/lEPOxdvL1VtxToTh4mK1Xt7O0XaGe3ereoUxwlQvt32I6Ytw&#10;huSgpUcs7ZXJp2IunL7GVFzmE1Xgv5G2NBqLdgJNbup6OcFOhzHBM3C+ad2j0rpUXVsyIK96XVgB&#10;trLEFkKCxqMd0XaUgO7wjbAUSvrotOL5egaKoTvudCCYFb1bruvdc+J/juXce4j9eI5jlOlBY1TC&#10;V6SVaSm6gt+4nEDpB8tJungsRAoKbKfFpEhb9CtXYfQ9R0fHL6UcZR17pDg69XNuwr/n5fbLG9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rMR3YAAAACQEAAA8AAAAAAAAAAQAgAAAAIgAAAGRy&#10;cy9kb3ducmV2LnhtbFBLAQIUABQAAAAIAIdO4kAvAGP6BQIAAAsEAAAOAAAAAAAAAAEAIAAAACcB&#10;AABkcnMvZTJvRG9jLnhtbFBLBQYAAAAABgAGAFkBAACeBQAAAAA=&#10;" adj="-48">
                <v:fill on="f" focussize="0,0"/>
                <v:stroke weight="1pt" color="#4472C4 [3204]" miterlimit="8" joinstyle="miter" dashstyle="dash" endarrow="block"/>
                <v:imagedata o:title=""/>
                <o:lock v:ext="edit" aspectratio="f"/>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3439795</wp:posOffset>
                </wp:positionH>
                <wp:positionV relativeFrom="paragraph">
                  <wp:posOffset>12065</wp:posOffset>
                </wp:positionV>
                <wp:extent cx="891540" cy="1370965"/>
                <wp:effectExtent l="7937" t="30163" r="68898" b="30797"/>
                <wp:wrapNone/>
                <wp:docPr id="36" name="Connector: Elbow 36"/>
                <wp:cNvGraphicFramePr/>
                <a:graphic xmlns:a="http://schemas.openxmlformats.org/drawingml/2006/main">
                  <a:graphicData uri="http://schemas.microsoft.com/office/word/2010/wordprocessingShape">
                    <wps:wsp>
                      <wps:cNvCnPr/>
                      <wps:spPr>
                        <a:xfrm rot="16200000">
                          <a:off x="0" y="0"/>
                          <a:ext cx="891540" cy="1370965"/>
                        </a:xfrm>
                        <a:prstGeom prst="bentConnector3">
                          <a:avLst>
                            <a:gd name="adj1" fmla="val -224"/>
                          </a:avLst>
                        </a:prstGeom>
                        <a:ln w="1270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or: Elbow 36" o:spid="_x0000_s1026" o:spt="34" type="#_x0000_t34" style="position:absolute;left:0pt;margin-left:270.85pt;margin-top:0.95pt;height:107.95pt;width:70.2pt;rotation:-5898240f;z-index:251675648;mso-width-relative:page;mso-height-relative:page;" filled="f" stroked="t" coordsize="21600,21600" o:gfxdata="UEsDBAoAAAAAAIdO4kAAAAAAAAAAAAAAAAAEAAAAZHJzL1BLAwQUAAAACACHTuJANvXjVdkAAAAJ&#10;AQAADwAAAGRycy9kb3ducmV2LnhtbE2Py27CMBBF95X6D9YgdVccRxRCGgdVFSwqZVPasjbx5CHi&#10;cRQ7Ifx93VVZjs7VvWey3Ww6NuHgWksSxDIChlRa3VIt4fvr8JwAc16RVp0llHBDB7v88SFTqbZX&#10;+sTp6GsWSsilSkLjfZ9y7soGjXJL2yMFVtnBKB/OoeZ6UNdQbjoeR9GaG9VSWGhUj+8NlpfjaCTs&#10;57fToah+ppO7mY+xqMr9altI+bQQ0Sswj7P/D8OfflCHPDid7UjasU7Cy0psQjSALbDA10ksgJ0l&#10;xGKTAM8zfv9B/gtQSwMEFAAAAAgAh07iQNOKamUSAgAAGgQAAA4AAABkcnMvZTJvRG9jLnhtbK1T&#10;y27bMBC8F+g/ELzHsmTHTgTLOdhJL0VroM0H0CQlseALS8ay/75LSnGb9JJDdRCWS3J2Z2a5eTgb&#10;TU4SgnK2oeVsTom03Allu4Y+/3y6uaMkRGYF087Khl5koA/bz582g69l5XqnhQSCIDbUg29oH6Ov&#10;iyLwXhoWZs5Li5utA8MiLqErBLAB0Y0uqvl8VQwOhAfHZQiY3Y+bdEKEjwC6tlVc7h1/MdLGERWk&#10;ZhEphV75QLe527aVPH5v2yAj0Q1FpjH/sQjGx/QvthtWd8B8r/jUAvtIC+84GaYsFr1C7Vlk5AXU&#10;P1BGcXDBtXHGnSlGIlkRZFHO32nzo2deZi4odfBX0cP/g+XfTgcgSjR0saLEMoOO75y1KJyDmjzq&#10;oxsIbqFOgw81Ht/ZA0yr4A+QSJ9bMAQciluu0GL8shbIjpyz1Jer1PIcCcfk3X15u0QTOG6Vi/X8&#10;fnWbahQjWAL1EOIX6QxJQUOP6PS1sUXGZ6evIWbRxdQ5E79KSlqj0cMT0+SmqpYT7HQYC7wCp5vW&#10;PSmt8xBoSwbspVpj94QznOwWJwpD41GdYDtKmO7wyfAIuXxwWol0PQEF6I47DQSrNnS5XFe718Jv&#10;jqXaexb68ZzAKLXHaqMiPiqtDCozCpjTkSn9aAWJF4++RFDMdlpOjLRFvZIpow0pOjpxye7kPI5M&#10;VnQa7zSTf6/z7T9Pev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vXjVdkAAAAJAQAADwAAAAAA&#10;AAABACAAAAAiAAAAZHJzL2Rvd25yZXYueG1sUEsBAhQAFAAAAAgAh07iQNOKamUSAgAAGgQAAA4A&#10;AAAAAAAAAQAgAAAAKAEAAGRycy9lMm9Eb2MueG1sUEsFBgAAAAAGAAYAWQEAAKwFAAAAAA==&#10;" adj="-48">
                <v:fill on="f" focussize="0,0"/>
                <v:stroke weight="1pt" color="#4472C4 [3204]" miterlimit="8" joinstyle="miter" dashstyle="dash" endarrow="block"/>
                <v:imagedata o:title=""/>
                <o:lock v:ext="edit" aspectratio="f"/>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84864" behindDoc="0" locked="0" layoutInCell="1" allowOverlap="1">
                <wp:simplePos x="0" y="0"/>
                <wp:positionH relativeFrom="margin">
                  <wp:posOffset>1395730</wp:posOffset>
                </wp:positionH>
                <wp:positionV relativeFrom="paragraph">
                  <wp:posOffset>138430</wp:posOffset>
                </wp:positionV>
                <wp:extent cx="2482850" cy="298450"/>
                <wp:effectExtent l="0" t="0" r="0" b="0"/>
                <wp:wrapNone/>
                <wp:docPr id="55" name="Rectangle 55"/>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实际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5" o:spid="_x0000_s1026" o:spt="1" style="position:absolute;left:0pt;margin-left:109.9pt;margin-top:10.9pt;height:23.5pt;width:195.5pt;mso-position-horizontal-relative:margin;z-index:251684864;v-text-anchor:middle;mso-width-relative:page;mso-height-relative:page;" filled="f" stroked="f" coordsize="21600,21600" o:gfxdata="UEsDBAoAAAAAAIdO4kAAAAAAAAAAAAAAAAAEAAAAZHJzL1BLAwQUAAAACACHTuJAXUIrhNUAAAAJ&#10;AQAADwAAAGRycy9kb3ducmV2LnhtbE2PQU/DMAyF70j8h8hI3FjSHaZSmk4aEkJoB8QY9zTx2mqN&#10;UzVpu/17vBOc/Cw/PX+v3F58L2YcYxdIQ7ZSIJBscB01Go7fb085iJgMOdMHQg1XjLCt7u9KU7iw&#10;0BfOh9QIDqFYGA1tSkMhZbQtehNXYUDi2ymM3iRex0a60Swc7nu5VmojvemIP7RmwNcW7fkweQ0/&#10;4bRbvK3pY75+dtP7frQ232v9+JCpFxAJL+nPDDd8RoeKmeowkYui17DOnhk93QRPNmwyxaJmkecg&#10;q1L+b1D9AlBLAwQUAAAACACHTuJAOBlmSlUCAACyBAAADgAAAGRycy9lMm9Eb2MueG1srVRNb9sw&#10;DL0P2H8QdF+dGMmaBnWKoEGHAcVatBt2VmQpFqCvSUqc7tfvSXbboNuhh+XgkCL9SD49+vLqaDQ5&#10;iBCVsw2dnk0oEZa7VtldQ398v/m0oCQmZlumnRUNfRKRXq0+frjs/VLUrnO6FYEAxMZl7xvapeSX&#10;VRV5JwyLZ84Li6B0wbAEN+yqNrAe6EZX9WTyuepdaH1wXMSI080QpCNieA+gk1JxsXF8b4RNA2oQ&#10;miWMFDvlI12VbqUUPN1JGUUiuqGYNJUnisDe5me1umTLXWC+U3xsgb2nhTczGaYsir5AbVhiZB/U&#10;X1BG8eCik+mMO1MNgxRGMMV08oabx455UWYB1dG/kB7/Hyz/drgPRLUNnc8psczgxh/AGrM7LQjO&#10;QFDv4xJ5j/4+jF6Emac9ymDyP+Ygx0Lq0wup4pgIx2E9W9SLOfjmiNUXixlswFSvb/sQ0xfhDMlG&#10;QwPKFy7Z4TamIfU5JRez7kZpjXO21Jb00HB9Psn4DGqUUAFM4zFRtDtKmN5B5jyFAnnybobcsNiR&#10;A4M2otOqHdRgVILAtTINXUzyb2xXW3SduRimz1Y6bo8jJVvXPoHJ4AaJRc9vFCrcspjuWYCm0CG2&#10;Lt3hIbVD2260KOlc+P2v85yPq0aUkh4aRZu/9iwISvRXCxFcTGczwKbizObnNZxwGtmeRuzeXDuM&#10;OsV+e17MnJ/0symDMz+xnOtcFSFmOWoP5I3OdRp2B+vNxXpd0iBkz9KtffQ8gw9XtN4nJ1W5vUzU&#10;wM7IH6Rc7n9cu7wrp37Jev3U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UIrhNUAAAAJAQAA&#10;DwAAAAAAAAABACAAAAAiAAAAZHJzL2Rvd25yZXYueG1sUEsBAhQAFAAAAAgAh07iQDgZZkpVAgAA&#10;sgQAAA4AAAAAAAAAAQAgAAAAJAEAAGRycy9lMm9Eb2MueG1sUEsFBgAAAAAGAAYAWQEAAOsFAAAA&#10;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实际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控制</w:t>
                      </w:r>
                    </w:p>
                  </w:txbxContent>
                </v:textbox>
              </v:rect>
            </w:pict>
          </mc:Fallback>
        </mc:AlternateContent>
      </w:r>
    </w:p>
    <w:p>
      <w:pPr>
        <w:spacing w:line="360" w:lineRule="auto"/>
        <w:ind w:firstLine="490"/>
        <w:rPr>
          <w:rFonts w:ascii="宋体" w:hAnsi="宋体" w:eastAsia="宋体"/>
          <w:sz w:val="24"/>
          <w:szCs w:val="24"/>
        </w:rPr>
      </w:pPr>
      <w:r>
        <w:rPr>
          <w:rFonts w:hint="eastAsia" w:ascii="宋体" w:hAnsi="宋体" w:eastAsia="宋体"/>
          <w:sz w:val="24"/>
          <w:szCs w:val="24"/>
          <w:lang w:val="zh-CN"/>
        </w:rPr>
        <mc:AlternateContent>
          <mc:Choice Requires="wps">
            <w:drawing>
              <wp:anchor distT="0" distB="0" distL="114300" distR="114300" simplePos="0" relativeHeight="251674624" behindDoc="0" locked="0" layoutInCell="1" allowOverlap="1">
                <wp:simplePos x="0" y="0"/>
                <wp:positionH relativeFrom="margin">
                  <wp:posOffset>2359025</wp:posOffset>
                </wp:positionH>
                <wp:positionV relativeFrom="paragraph">
                  <wp:posOffset>23495</wp:posOffset>
                </wp:positionV>
                <wp:extent cx="539750" cy="0"/>
                <wp:effectExtent l="41275" t="0" r="53975" b="53975"/>
                <wp:wrapNone/>
                <wp:docPr id="46" name="Straight Arrow Connector 46"/>
                <wp:cNvGraphicFramePr/>
                <a:graphic xmlns:a="http://schemas.openxmlformats.org/drawingml/2006/main">
                  <a:graphicData uri="http://schemas.microsoft.com/office/word/2010/wordprocessingShape">
                    <wps:wsp>
                      <wps:cNvCnPr/>
                      <wps:spPr>
                        <a:xfrm rot="5400000">
                          <a:off x="0" y="0"/>
                          <a:ext cx="540000" cy="0"/>
                        </a:xfrm>
                        <a:prstGeom prst="straightConnector1">
                          <a:avLst/>
                        </a:prstGeom>
                        <a:ln w="9525">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6" o:spid="_x0000_s1026" o:spt="32" type="#_x0000_t32" style="position:absolute;left:0pt;margin-left:185.75pt;margin-top:1.85pt;height:0pt;width:42.5pt;mso-position-horizontal-relative:margin;rotation:5898240f;z-index:251674624;mso-width-relative:page;mso-height-relative:page;" filled="f" stroked="t" coordsize="21600,21600" o:gfxdata="UEsDBAoAAAAAAIdO4kAAAAAAAAAAAAAAAAAEAAAAZHJzL1BLAwQUAAAACACHTuJAql5FpdIAAAAH&#10;AQAADwAAAGRycy9kb3ducmV2LnhtbE2OQU+DQBCF7yb+h8008WZ30RYNZenBxKtJa+t5gRFo2Vlk&#10;Fwr+eqde9DZf3subL91OthUj9r5xpCFaKhBIhSsbqjQc3l/vn0H4YKg0rSPUMKOHbXZ7k5qkdBfa&#10;4bgPleAR8onRUIfQJVL6okZr/NJ1SJx9ut6awNhXsuzNhcdtKx+UiqU1DfGH2nT4UmNx3g9Ww+lr&#10;wHmcVufvWVF+2h0Pbx+x0vpuEakNiIBT+CvDVZ/VIWOn3A1UetFqeHyK1ly9HiA4X61j5vyXZZbK&#10;//7ZD1BLAwQUAAAACACHTuJASOF6avcBAADyAwAADgAAAGRycy9lMm9Eb2MueG1srVPBbtswDL0P&#10;2D8Iui9OgqTrgjjFkKy7DFuBbh+gyLItQBIFUo2Tvx8lu+nWXXqYDwIlkY/vPVPbu7N34mSQLIRa&#10;LmZzKUzQ0NjQ1fLXz/sPt1JQUqFRDoKp5cWQvNu9f7cd4sYsoQfXGBQMEmgzxFr2KcVNVZHujVc0&#10;g2gCX7aAXiXeYlc1qAZG965azuc31QDYRARtiPj0MF7KCRHfAghta7U5gH7yJqQRFY1TiSVRbyPJ&#10;XWHbtkanH21LJglXS1aayspNOD7mtdpt1aZDFXurJwrqLRReafLKBm56hTqopMQT2n+gvNUIBG2a&#10;afDVKKQ4wioW81fePPYqmqKFraZ4NZ3+H6z+fnpAYZtarm6kCMrzH39MqGzXJ/EZEQaxhxDYR0DB&#10;KezXEGnDZfvwgNOO4gNm8ecWvUBgk9eref6KJSxSnIvjl6vj5pyE5sMxTwr9fFWNKBktIqWvBrzI&#10;QS1pYnWlsyjo6vSNEvPgwueCXBzg3jpX/q4LYqjlp/VyzX0UT2zLk8Khj6yaQieFch0/BZ2wIBI4&#10;2+TqjEPYHfcOxUnxAK1WH5f7VfaAu/2VllsfFPVjXsPROFneJn4szvpa3o6OFEpJWfclNCJdIvud&#10;0KrQOTMBu8D42eTR1hwdobkUt8s5j0JhMI1tnrU/96X65an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XkWl0gAAAAcBAAAPAAAAAAAAAAEAIAAAACIAAABkcnMvZG93bnJldi54bWxQSwECFAAU&#10;AAAACACHTuJASOF6avcBAADyAwAADgAAAAAAAAABACAAAAAhAQAAZHJzL2Uyb0RvYy54bWxQSwUG&#10;AAAAAAYABgBZAQAAigUAAAAA&#10;">
                <v:fill on="f" focussize="0,0"/>
                <v:stroke color="#4472C4 [3204]" miterlimit="8" joinstyle="miter" dashstyle="dash" endarrow="block"/>
                <v:imagedata o:title=""/>
                <o:lock v:ext="edit" aspectratio="f"/>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52705</wp:posOffset>
                </wp:positionV>
                <wp:extent cx="844550" cy="316865"/>
                <wp:effectExtent l="0" t="0" r="12700" b="26035"/>
                <wp:wrapNone/>
                <wp:docPr id="6" name="流程图: 可选过程 13"/>
                <wp:cNvGraphicFramePr/>
                <a:graphic xmlns:a="http://schemas.openxmlformats.org/drawingml/2006/main">
                  <a:graphicData uri="http://schemas.microsoft.com/office/word/2010/wordprocessingShape">
                    <wps:wsp>
                      <wps:cNvSpPr/>
                      <wps:spPr>
                        <a:xfrm>
                          <a:off x="0" y="0"/>
                          <a:ext cx="844550" cy="316865"/>
                        </a:xfrm>
                        <a:prstGeom prst="flowChartAlternate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b/>
                                <w:bCs/>
                                <w:sz w:val="24"/>
                                <w:szCs w:val="24"/>
                              </w:rPr>
                            </w:pPr>
                            <w:r>
                              <w:rPr>
                                <w:rFonts w:hint="eastAsia" w:ascii="宋体" w:hAnsi="宋体" w:eastAsia="宋体"/>
                                <w:b/>
                                <w:bCs/>
                                <w:sz w:val="24"/>
                                <w:szCs w:val="24"/>
                              </w:rPr>
                              <w:t>中转方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top:4.15pt;height:24.95pt;width:66.5pt;mso-position-horizontal:center;mso-position-horizontal-relative:margin;z-index:251672576;v-text-anchor:middle;mso-width-relative:page;mso-height-relative:page;" fillcolor="#00B0F0" filled="t" stroked="t" coordsize="21600,21600" o:gfxdata="UEsDBAoAAAAAAIdO4kAAAAAAAAAAAAAAAAAEAAAAZHJzL1BLAwQUAAAACACHTuJAlnbt89QAAAAF&#10;AQAADwAAAGRycy9kb3ducmV2LnhtbE2PzW7CMBCE75V4B2uReqmKDVFRlGaDAKmXqkXi5wFMvCQR&#10;8TrEDtC3rzm1x9GMZr7JF3fbiiv1vnGMMJ0oEMSlMw1XCIf9x2sKwgfNRreOCeGHPCyK0VOuM+Nu&#10;vKXrLlQilrDPNEIdQpdJ6cuarPYT1xFH7+R6q0OUfSVNr2+x3LZyptRcWt1wXKh1R+uayvNusAhm&#10;M6xO3y/75ef6stwQ8VdyVini83iq3kEEuoe/MDzwIzoUkenoBjZetAjxSEBIExAPM0miPiK8pTOQ&#10;RS7/0xe/UEsDBBQAAAAIAIdO4kAvc9/KsgIAAEYFAAAOAAAAZHJzL2Uyb0RvYy54bWytVM1uEzEQ&#10;viPxDpbvdDdpEsKqmyokCkKqaKSCODteb9aS/7CdbMoJTghx4AF4AW6cuMLTlJ+3YGxv27Rw6IEc&#10;NjOemW8838z46HgnBdoy67hWJe4d5BgxRXXF1brEL54vHowxcp6oigitWInPmcPHk/v3jlpTsL5u&#10;tKiYRQCiXNGaEjfemyLLHG2YJO5AG6bAWGsriQfVrrPKkhbQpcj6eT7KWm0rYzVlzsHpPBlxh2jv&#10;AqjrmlM213QjmfIJ1TJBPJTkGm4cnsTb1jWj/rSuHfNIlBgq9fELSUBehW82OSLF2hLTcNpdgdzl&#10;CrdqkoQrSHoFNSeeoI3lf0FJTq12uvYHVMssFRIZgSp6+S1uzhpiWKwFqHbminT3/2Dps+3SIl6V&#10;eISRIhIa/uPr25+fP1x8+lagi49ffr95/+v7OzhAvcPAVmtcAUFnZmk7zYEYSt/VVoZ/KArtIsPn&#10;VwyznUcUDseDwXAI3FMwHfZG49EwYGbXwcY6/4RpiYJQ4lrodtYQ66fCM6uIZ8s0OZFssj1xPsVf&#10;xoULOC14teBCRMWuVzNh0ZaECcgf54vYdEh5w00o1MI29B/m4XYE5rqGeQJRGuDGqTVGRKxhYai3&#10;MfeNaLefpL8Y9seL5NSQiqXUwxx+XbGdeyz8Bk6oYk5ck0KiKYSQQnIoHwkugcIAdIkkFICElqQm&#10;BMnvVruuMytdnUN3rU5j7wxdcMhwQpxfEgtzDrXCS+BP4ROYLrHuJIwabV//6zz4w/iBFaMW9gbI&#10;ebUhlmEknioYzEe9wQBgfVQGw4d9UOy+ZbVvURs509CYHrw5hkYx+HtxKdZWy5fwYExDVjARRSF3&#10;akOnzHzaZ3hyKJtOoxsslyH+RJ0ZGsADhUpPN17XPA5MICqx0/EH6xXb0T0FYX/39eh1/fx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Wdu3z1AAAAAUBAAAPAAAAAAAAAAEAIAAAACIAAABkcnMv&#10;ZG93bnJldi54bWxQSwECFAAUAAAACACHTuJAL3PfyrICAABGBQAADgAAAAAAAAABACAAAAAjAQAA&#10;ZHJzL2Uyb0RvYy54bWxQSwUGAAAAAAYABgBZAQAARwYAAAAA&#10;">
                <v:fill on="t" focussize="0,0"/>
                <v:stroke weight="1pt" color="#2F528F [3204]" miterlimit="8" joinstyle="miter"/>
                <v:imagedata o:title=""/>
                <o:lock v:ext="edit" aspectratio="f"/>
                <v:textbox>
                  <w:txbxContent>
                    <w:p>
                      <w:pPr>
                        <w:jc w:val="center"/>
                        <w:rPr>
                          <w:rFonts w:ascii="宋体" w:hAnsi="宋体" w:eastAsia="宋体"/>
                          <w:b/>
                          <w:bCs/>
                          <w:sz w:val="24"/>
                          <w:szCs w:val="24"/>
                        </w:rPr>
                      </w:pPr>
                      <w:r>
                        <w:rPr>
                          <w:rFonts w:hint="eastAsia" w:ascii="宋体" w:hAnsi="宋体" w:eastAsia="宋体"/>
                          <w:b/>
                          <w:bCs/>
                          <w:sz w:val="24"/>
                          <w:szCs w:val="24"/>
                        </w:rPr>
                        <w:t>中转方</w:t>
                      </w:r>
                    </w:p>
                  </w:txbxContent>
                </v:textbox>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83840" behindDoc="0" locked="0" layoutInCell="1" allowOverlap="1">
                <wp:simplePos x="0" y="0"/>
                <wp:positionH relativeFrom="margin">
                  <wp:posOffset>2743200</wp:posOffset>
                </wp:positionH>
                <wp:positionV relativeFrom="paragraph">
                  <wp:posOffset>99060</wp:posOffset>
                </wp:positionV>
                <wp:extent cx="2482850" cy="298450"/>
                <wp:effectExtent l="0" t="0" r="0" b="0"/>
                <wp:wrapNone/>
                <wp:docPr id="54" name="Rectangle 54"/>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体外资金回流至客户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4" o:spid="_x0000_s1026" o:spt="1" style="position:absolute;left:0pt;margin-left:216pt;margin-top:7.8pt;height:23.5pt;width:195.5pt;mso-position-horizontal-relative:margin;z-index:251683840;v-text-anchor:middle;mso-width-relative:page;mso-height-relative:page;" filled="f" stroked="f" coordsize="21600,21600" o:gfxdata="UEsDBAoAAAAAAIdO4kAAAAAAAAAAAAAAAAAEAAAAZHJzL1BLAwQUAAAACACHTuJAVeoR89cAAAAJ&#10;AQAADwAAAGRycy9kb3ducmV2LnhtbE2PwU7DMBBE70j9B2srcaNOU4iiEKcSSAihHhAt3B17m0TE&#10;6yh2kvbvWU5w3JnR7Jtyf3G9mHEMnScF200CAsl421Gj4PP0cpeDCFGT1b0nVHDFAPtqdVPqwvqF&#10;PnA+xkZwCYVCK2hjHAopg2nR6bDxAxJ7Zz86HfkcG2lHvXC562WaJJl0uiP+0OoBn1s038fJKfjy&#10;56fFmZre5ut7N70eRmPyg1K3623yCCLiJf6F4Ref0aFiptpPZIPoFdzvUt4S2XjIQHAgT3cs1Aqy&#10;NANZlfL/guoHUEsDBBQAAAAIAIdO4kDsNCd6VQIAALIEAAAOAAAAZHJzL2Uyb0RvYy54bWytVE1v&#10;2zAMvQ/YfxB0X50Y6ZoGdYqgQYcBxVo0G3ZWZCkWoK9JSpzu1+9Jdtug26GH5eCQIv1IPj366vpo&#10;NDmIEJWzDZ2eTSgRlrtW2V1Df3y//TSnJCZmW6adFQ19EpFeLz9+uOr9QtSuc7oVgQDExkXvG9ql&#10;5BdVFXknDItnzguLoHTBsAQ37Ko2sB7oRlf1ZPK56l1ofXBcxIjT9RCkI2J4D6CTUnGxdnxvhE0D&#10;ahCaJYwUO+UjXZZupRQ83UsZRSK6oZg0lSeKwN7mZ7W8YotdYL5TfGyBvaeFNzMZpiyKvkCtWWJk&#10;H9RfUEbx4KKT6Yw7Uw2DFEYwxXTyhptNx7wos4Dq6F9Ij/8Pln87PASi2oaezyixzODGH8Easzst&#10;CM5AUO/jAnkb/xBGL8LM0x5lMPkfc5BjIfXphVRxTITjsJ7N6/k5+OaI1ZfzGWzAVK9v+xDTF+EM&#10;yUZDA8oXLtnhLqYh9TklF7PuVmmNc7bQlvTQcH0xyfgMapRQAUzjMVG0O0qY3kHmPIUCefJuhlyz&#10;2JEDgzai06od1GBUgsC1Mg2dT/JvbFdbdJ25GKbPVjpujyMlW9c+gcngBolFz28VKtyxmB5YgKbQ&#10;IbYu3eMhtUPbbrQo6Vz4/a/znI+rRpSSHhpFm7/2LAhK9FcLEVxOZzPApuLMzi9qOOE0sj2N2L25&#10;cRh1iv32vJg5P+lnUwZnfmI5V7kqQsxy1B7IG52bNOwO1puL1aqkQciepTu78TyDD1e02icnVbm9&#10;TNTAzsgfpFzuf1y7vCunfsl6/dQ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V6hHz1wAAAAkB&#10;AAAPAAAAAAAAAAEAIAAAACIAAABkcnMvZG93bnJldi54bWxQSwECFAAUAAAACACHTuJA7DQnelUC&#10;AACyBAAADgAAAAAAAAABACAAAAAmAQAAZHJzL2Uyb0RvYy54bWxQSwUGAAAAAAYABgBZAQAA7QUA&#10;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体外资金回流至客户</w:t>
                      </w:r>
                    </w:p>
                  </w:txbxContent>
                </v:textbox>
              </v: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99060</wp:posOffset>
                </wp:positionV>
                <wp:extent cx="2482850" cy="298450"/>
                <wp:effectExtent l="0" t="0" r="0" b="0"/>
                <wp:wrapNone/>
                <wp:docPr id="52" name="Rectangle 52"/>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直接或通过中转方划拨资金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2" o:spid="_x0000_s1026" o:spt="1" style="position:absolute;left:0pt;margin-top:7.8pt;height:23.5pt;width:195.5pt;mso-position-horizontal:left;mso-position-horizontal-relative:margin;z-index:251682816;v-text-anchor:middle;mso-width-relative:page;mso-height-relative:page;" filled="f" stroked="f" coordsize="21600,21600" o:gfxdata="UEsDBAoAAAAAAIdO4kAAAAAAAAAAAAAAAAAEAAAAZHJzL1BLAwQUAAAACACHTuJADrp7KNQAAAAG&#10;AQAADwAAAGRycy9kb3ducmV2LnhtbE2PwU7DMBBE70j8g7VI3KiTIqI2xKkEEkKoB0Shd8feJhHx&#10;OrKdpP17lhMcZ2Y187band0gZgyx96QgX2UgkIy3PbUKvj5f7jYgYtJk9eAJFVwwwq6+vqp0af1C&#10;HzgfUiu4hGKpFXQpjaWU0XTodFz5EYmzkw9OJ5ahlTbohcvdINdZVkine+KFTo/43KH5PkxOwdGf&#10;nhZnGnqbL+/99LoPxmz2St3e5NkjiITn9HcMv/iMDjUzNX4iG8WggB9J7D4UIDi93+ZsNAqKdQGy&#10;ruR//PoHUEsDBBQAAAAIAIdO4kAU2KHbVQIAALIEAAAOAAAAZHJzL2Uyb0RvYy54bWytVE1v2zAM&#10;vQ/YfxB0X50Y6ZoGdYqgQYcBxVo0G3ZWZCkWoK9JSpzu1+9Jdtug26GH5eCQIv1IPj366vpoNDmI&#10;EJWzDZ2eTSgRlrtW2V1Df3y//TSnJCZmW6adFQ19EpFeLz9+uOr9QtSuc7oVgQDExkXvG9ql5BdV&#10;FXknDItnzguLoHTBsAQ37Ko2sB7oRlf1ZPK56l1ofXBcxIjT9RCkI2J4D6CTUnGxdnxvhE0DahCa&#10;JYwUO+UjXZZupRQ83UsZRSK6oZg0lSeKwN7mZ7W8YotdYL5TfGyBvaeFNzMZpiyKvkCtWWJkH9Rf&#10;UEbx4KKT6Yw7Uw2DFEYwxXTyhptNx7wos4Dq6F9Ij/8Pln87PASi2oae15RYZnDjj2CN2Z0WBGcg&#10;qPdxgbyNfwijF2HmaY8ymPyPOcixkPr0Qqo4JsJxWM/m9fwcfHPE6sv5DDZgqte3fYjpi3CGZKOh&#10;AeULl+xwF9OQ+pySi1l3q7TGOVtoS3pouL6YZHwGNUqoAKbxmCjaHSVM7yBznkKBPHk3Q65Z7MiB&#10;QRvRadUOajAqQeBamYbOJ/k3tqstus5cDNNnKx23x5GSrWufwGRwg8Si57cKFe5YTA8sQFPoEFuX&#10;7vGQ2qFtN1qUdC78/td5zsdVI0pJD42izV97FgQl+quFCC6nsxlgU3Fm5xc1nHAa2Z5G7N7cOIw6&#10;xX57Xsycn/SzKYMzP7Gcq1wVIWY5ag/kjc5NGnYH683FalXSIGTP0p3deJ7Bhyta7ZOTqtxeJmpg&#10;Z+QPUi73P65d3pVTv2S9fmq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unso1AAAAAYBAAAP&#10;AAAAAAAAAAEAIAAAACIAAABkcnMvZG93bnJldi54bWxQSwECFAAUAAAACACHTuJAFNih21UCAACy&#10;BAAADgAAAAAAAAABACAAAAAjAQAAZHJzL2Uyb0RvYy54bWxQSwUGAAAAAAYABgBZAQAA6gUA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直接或通过中转方划拨资金</w:t>
                      </w:r>
                    </w:p>
                  </w:txbxContent>
                </v:textbox>
              </v:rect>
            </w:pict>
          </mc:Fallback>
        </mc:AlternateConten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r>
        <w:rPr>
          <w:rFonts w:ascii="宋体" w:hAnsi="宋体" w:eastAsia="宋体"/>
          <w:sz w:val="24"/>
          <w:szCs w:val="24"/>
        </w:rPr>
        <w:t>2016年12月至2018年5月间（以下简称涉案期间），东方金钰为完成营业收入、利润总额等业绩指标，虚构其所控制的</w:t>
      </w:r>
      <w:r>
        <w:rPr>
          <w:rFonts w:hint="eastAsia" w:ascii="宋体" w:hAnsi="宋体" w:eastAsia="宋体"/>
          <w:sz w:val="24"/>
          <w:szCs w:val="24"/>
        </w:rPr>
        <w:t>子公司</w:t>
      </w:r>
      <w:r>
        <w:rPr>
          <w:rFonts w:ascii="宋体" w:hAnsi="宋体" w:eastAsia="宋体"/>
          <w:sz w:val="24"/>
          <w:szCs w:val="24"/>
        </w:rPr>
        <w:t>瑞丽市姐告宏宁珠宝有限公司</w:t>
      </w:r>
      <w:r>
        <w:rPr>
          <w:rFonts w:hint="eastAsia" w:ascii="宋体" w:hAnsi="宋体" w:eastAsia="宋体"/>
          <w:sz w:val="24"/>
          <w:szCs w:val="24"/>
        </w:rPr>
        <w:t>关于</w:t>
      </w:r>
      <w:r>
        <w:rPr>
          <w:rFonts w:ascii="宋体" w:hAnsi="宋体" w:eastAsia="宋体"/>
          <w:sz w:val="24"/>
          <w:szCs w:val="24"/>
        </w:rPr>
        <w:t>（以下简称姐告宏宁）与六名自然人名义客户之间的翡翠原石销售交易</w:t>
      </w:r>
      <w:r>
        <w:rPr>
          <w:rFonts w:hint="eastAsia" w:ascii="宋体" w:hAnsi="宋体" w:eastAsia="宋体"/>
          <w:sz w:val="24"/>
          <w:szCs w:val="24"/>
        </w:rPr>
        <w:t>，对应交易不具有商业实质和真实性，虚增收入。</w:t>
      </w:r>
    </w:p>
    <w:p>
      <w:pPr>
        <w:spacing w:line="360" w:lineRule="auto"/>
        <w:ind w:firstLine="490"/>
        <w:rPr>
          <w:rFonts w:ascii="宋体" w:hAnsi="宋体" w:eastAsia="宋体"/>
          <w:sz w:val="24"/>
          <w:szCs w:val="24"/>
        </w:rPr>
      </w:pPr>
      <w:r>
        <w:rPr>
          <w:rFonts w:hint="eastAsia" w:ascii="宋体" w:hAnsi="宋体" w:eastAsia="宋体"/>
          <w:sz w:val="24"/>
          <w:szCs w:val="24"/>
        </w:rPr>
        <w:t>涉案期间，姐告宏宁通过虚构销售与采购合同，并通过控制</w:t>
      </w:r>
      <w:r>
        <w:rPr>
          <w:rFonts w:ascii="宋体" w:hAnsi="宋体" w:eastAsia="宋体"/>
          <w:sz w:val="24"/>
          <w:szCs w:val="24"/>
        </w:rPr>
        <w:t>19个银行账户，虚构</w:t>
      </w:r>
      <w:r>
        <w:rPr>
          <w:rFonts w:hint="eastAsia" w:ascii="宋体" w:hAnsi="宋体" w:eastAsia="宋体"/>
          <w:sz w:val="24"/>
          <w:szCs w:val="24"/>
        </w:rPr>
        <w:t>相应</w:t>
      </w:r>
      <w:r>
        <w:rPr>
          <w:rFonts w:ascii="宋体" w:hAnsi="宋体" w:eastAsia="宋体"/>
          <w:sz w:val="24"/>
          <w:szCs w:val="24"/>
        </w:rPr>
        <w:t>销售和采购交易资金流</w:t>
      </w:r>
      <w:r>
        <w:rPr>
          <w:rFonts w:hint="eastAsia" w:ascii="宋体" w:hAnsi="宋体" w:eastAsia="宋体"/>
          <w:sz w:val="24"/>
          <w:szCs w:val="24"/>
        </w:rPr>
        <w:t>等手段，虚构整个销售与采购交易循环：</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姐告宏宁在</w:t>
      </w:r>
      <w:r>
        <w:rPr>
          <w:rFonts w:ascii="宋体" w:hAnsi="宋体" w:eastAsia="宋体"/>
          <w:sz w:val="24"/>
          <w:szCs w:val="24"/>
        </w:rPr>
        <w:t>2016年至2017年</w:t>
      </w:r>
      <w:r>
        <w:rPr>
          <w:rFonts w:hint="eastAsia" w:ascii="宋体" w:hAnsi="宋体" w:eastAsia="宋体"/>
          <w:sz w:val="24"/>
          <w:szCs w:val="24"/>
        </w:rPr>
        <w:t>期间虚构</w:t>
      </w:r>
      <w:r>
        <w:rPr>
          <w:rFonts w:ascii="宋体" w:hAnsi="宋体" w:eastAsia="宋体"/>
          <w:sz w:val="24"/>
          <w:szCs w:val="24"/>
        </w:rPr>
        <w:t>与六名自然人名义供应商之间的采购合同，虚构采购交易。姐告宏宁向六名自然人名义供应商支付采购款，</w:t>
      </w:r>
      <w:r>
        <w:rPr>
          <w:rFonts w:hint="eastAsia" w:ascii="宋体" w:hAnsi="宋体" w:eastAsia="宋体"/>
          <w:sz w:val="24"/>
          <w:szCs w:val="24"/>
        </w:rPr>
        <w:t>部分采购款</w:t>
      </w:r>
      <w:r>
        <w:rPr>
          <w:rFonts w:ascii="宋体" w:hAnsi="宋体" w:eastAsia="宋体"/>
          <w:sz w:val="24"/>
          <w:szCs w:val="24"/>
        </w:rPr>
        <w:t>通过</w:t>
      </w:r>
      <w:r>
        <w:rPr>
          <w:rFonts w:hint="eastAsia" w:ascii="宋体" w:hAnsi="宋体" w:eastAsia="宋体"/>
          <w:sz w:val="24"/>
          <w:szCs w:val="24"/>
        </w:rPr>
        <w:t>另外</w:t>
      </w:r>
      <w:r>
        <w:rPr>
          <w:rFonts w:ascii="宋体" w:hAnsi="宋体" w:eastAsia="宋体"/>
          <w:sz w:val="24"/>
          <w:szCs w:val="24"/>
        </w:rPr>
        <w:t>七名自然人中转方</w:t>
      </w:r>
      <w:r>
        <w:rPr>
          <w:rFonts w:hint="eastAsia" w:ascii="宋体" w:hAnsi="宋体" w:eastAsia="宋体"/>
          <w:sz w:val="24"/>
          <w:szCs w:val="24"/>
        </w:rPr>
        <w:t>的银行</w:t>
      </w:r>
      <w:r>
        <w:rPr>
          <w:rFonts w:ascii="宋体" w:hAnsi="宋体" w:eastAsia="宋体"/>
          <w:sz w:val="24"/>
          <w:szCs w:val="24"/>
        </w:rPr>
        <w:t>账户转入六名自然人名义客户账户</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姐告宏宁</w:t>
      </w:r>
      <w:r>
        <w:rPr>
          <w:rFonts w:ascii="宋体" w:hAnsi="宋体" w:eastAsia="宋体"/>
          <w:sz w:val="24"/>
          <w:szCs w:val="24"/>
        </w:rPr>
        <w:t>将来源于或转入东方金钰及其控制的公司或银行账户的资金，通过中转方和名义供应商账户</w:t>
      </w:r>
      <w:r>
        <w:rPr>
          <w:rFonts w:hint="eastAsia" w:ascii="宋体" w:hAnsi="宋体" w:eastAsia="宋体"/>
          <w:sz w:val="24"/>
          <w:szCs w:val="24"/>
        </w:rPr>
        <w:t>，</w:t>
      </w:r>
      <w:r>
        <w:rPr>
          <w:rFonts w:ascii="宋体" w:hAnsi="宋体" w:eastAsia="宋体"/>
          <w:sz w:val="24"/>
          <w:szCs w:val="24"/>
        </w:rPr>
        <w:t>转入名义客户账户，再控制名义客户账户支付销售交易款项，资金最终回流至姐告宏宁，</w:t>
      </w:r>
      <w:r>
        <w:rPr>
          <w:rFonts w:hint="eastAsia" w:ascii="宋体" w:hAnsi="宋体" w:eastAsia="宋体"/>
          <w:sz w:val="24"/>
          <w:szCs w:val="24"/>
        </w:rPr>
        <w:t>虚</w:t>
      </w:r>
      <w:r>
        <w:rPr>
          <w:rFonts w:ascii="宋体" w:hAnsi="宋体" w:eastAsia="宋体"/>
          <w:sz w:val="24"/>
          <w:szCs w:val="24"/>
        </w:rPr>
        <w:t>构资金</w:t>
      </w:r>
      <w:r>
        <w:rPr>
          <w:rFonts w:hint="eastAsia" w:ascii="宋体" w:hAnsi="宋体" w:eastAsia="宋体"/>
          <w:sz w:val="24"/>
          <w:szCs w:val="24"/>
        </w:rPr>
        <w:t>流转</w:t>
      </w:r>
      <w:r>
        <w:rPr>
          <w:rFonts w:ascii="宋体" w:hAnsi="宋体" w:eastAsia="宋体"/>
          <w:sz w:val="24"/>
          <w:szCs w:val="24"/>
        </w:rPr>
        <w:t>闭环</w:t>
      </w:r>
      <w:r>
        <w:rPr>
          <w:rFonts w:hint="eastAsia" w:ascii="宋体" w:hAnsi="宋体" w:eastAsia="宋体"/>
          <w:sz w:val="24"/>
          <w:szCs w:val="24"/>
        </w:rPr>
        <w:t>。</w:t>
      </w:r>
    </w:p>
    <w:p>
      <w:pPr>
        <w:spacing w:line="360" w:lineRule="auto"/>
        <w:ind w:firstLine="490"/>
        <w:rPr>
          <w:rFonts w:ascii="宋体" w:hAnsi="宋体" w:eastAsia="宋体"/>
          <w:sz w:val="24"/>
          <w:szCs w:val="24"/>
        </w:rPr>
      </w:pPr>
      <w:r>
        <w:rPr>
          <w:rFonts w:hint="eastAsia" w:ascii="宋体" w:hAnsi="宋体" w:eastAsia="宋体"/>
          <w:sz w:val="24"/>
          <w:szCs w:val="24"/>
        </w:rPr>
        <w:t>根据中国证监会行政处罚决定书〔</w:t>
      </w:r>
      <w:r>
        <w:rPr>
          <w:rFonts w:ascii="宋体" w:hAnsi="宋体" w:eastAsia="宋体"/>
          <w:sz w:val="24"/>
          <w:szCs w:val="24"/>
        </w:rPr>
        <w:t>202</w:t>
      </w: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32</w:t>
      </w:r>
      <w:r>
        <w:rPr>
          <w:rFonts w:ascii="宋体" w:hAnsi="宋体" w:eastAsia="宋体"/>
          <w:sz w:val="24"/>
          <w:szCs w:val="24"/>
        </w:rPr>
        <w:t>号</w:t>
      </w:r>
      <w:r>
        <w:rPr>
          <w:rFonts w:hint="eastAsia" w:ascii="宋体" w:hAnsi="宋体" w:eastAsia="宋体"/>
          <w:sz w:val="24"/>
          <w:szCs w:val="24"/>
        </w:rPr>
        <w:t>，B会计师事务所（特殊普通合伙）（以下简称B事务所）对东方金钰</w:t>
      </w: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年</w:t>
      </w:r>
      <w:r>
        <w:rPr>
          <w:rFonts w:hint="eastAsia" w:ascii="宋体" w:hAnsi="宋体" w:eastAsia="宋体"/>
          <w:sz w:val="24"/>
          <w:szCs w:val="24"/>
        </w:rPr>
        <w:t>财务报表进行</w:t>
      </w:r>
      <w:r>
        <w:rPr>
          <w:rFonts w:ascii="宋体" w:hAnsi="宋体" w:eastAsia="宋体"/>
          <w:sz w:val="24"/>
          <w:szCs w:val="24"/>
        </w:rPr>
        <w:t>审计，</w:t>
      </w:r>
      <w:r>
        <w:rPr>
          <w:rFonts w:hint="eastAsia" w:ascii="宋体" w:hAnsi="宋体" w:eastAsia="宋体"/>
          <w:sz w:val="24"/>
          <w:szCs w:val="24"/>
        </w:rPr>
        <w:t>但未能发现上述收入舞弊情况</w:t>
      </w:r>
      <w:r>
        <w:rPr>
          <w:rFonts w:ascii="宋体" w:hAnsi="宋体" w:eastAsia="宋体"/>
          <w:sz w:val="24"/>
          <w:szCs w:val="24"/>
        </w:rPr>
        <w:t>。</w:t>
      </w:r>
    </w:p>
    <w:p>
      <w:pPr>
        <w:spacing w:line="360" w:lineRule="auto"/>
        <w:ind w:firstLine="504"/>
        <w:rPr>
          <w:rFonts w:ascii="宋体" w:hAnsi="宋体" w:eastAsia="宋体"/>
          <w:sz w:val="24"/>
          <w:szCs w:val="24"/>
        </w:rPr>
      </w:pPr>
      <w:r>
        <w:rPr>
          <w:rFonts w:hint="eastAsia" w:ascii="宋体" w:hAnsi="宋体" w:eastAsia="宋体"/>
          <w:sz w:val="24"/>
          <w:szCs w:val="24"/>
        </w:rPr>
        <w:t>对前述东方金钰的收入舞弊，B事务所未能设计与执行充分而恰当的审计程序，最终发表不恰当的审计意见，分析如下：</w:t>
      </w:r>
    </w:p>
    <w:p>
      <w:pPr>
        <w:spacing w:line="360" w:lineRule="auto"/>
        <w:ind w:firstLine="480" w:firstLineChars="200"/>
        <w:rPr>
          <w:rFonts w:ascii="宋体" w:hAnsi="宋体" w:eastAsia="宋体"/>
          <w:sz w:val="24"/>
          <w:szCs w:val="24"/>
        </w:rPr>
      </w:pPr>
      <w:r>
        <w:rPr>
          <w:rFonts w:ascii="宋体" w:hAnsi="宋体" w:eastAsia="宋体"/>
          <w:sz w:val="24"/>
          <w:szCs w:val="24"/>
        </w:rPr>
        <w:t>(1)B事务所</w:t>
      </w:r>
      <w:r>
        <w:rPr>
          <w:rFonts w:hint="eastAsia" w:ascii="宋体" w:hAnsi="宋体" w:eastAsia="宋体"/>
          <w:sz w:val="24"/>
          <w:szCs w:val="24"/>
        </w:rPr>
        <w:t>对风险识别与评估程序执行不到位。</w:t>
      </w:r>
    </w:p>
    <w:p>
      <w:pPr>
        <w:spacing w:line="360" w:lineRule="auto"/>
        <w:ind w:firstLine="504"/>
        <w:rPr>
          <w:rFonts w:ascii="宋体" w:hAnsi="宋体" w:eastAsia="宋体"/>
          <w:sz w:val="24"/>
          <w:szCs w:val="24"/>
        </w:rPr>
      </w:pPr>
      <w:r>
        <w:rPr>
          <w:rFonts w:hint="eastAsia" w:ascii="宋体" w:hAnsi="宋体" w:eastAsia="宋体"/>
          <w:sz w:val="24"/>
          <w:szCs w:val="24"/>
        </w:rPr>
        <w:t>姐告宏宁</w:t>
      </w:r>
      <w:r>
        <w:rPr>
          <w:rFonts w:ascii="宋体" w:hAnsi="宋体" w:eastAsia="宋体"/>
          <w:sz w:val="24"/>
          <w:szCs w:val="24"/>
        </w:rPr>
        <w:t>2017年利润总额为18,776.19万元</w:t>
      </w:r>
      <w:r>
        <w:rPr>
          <w:rFonts w:hint="eastAsia" w:ascii="宋体" w:hAnsi="宋体" w:eastAsia="宋体"/>
          <w:sz w:val="24"/>
          <w:szCs w:val="24"/>
        </w:rPr>
        <w:t>，</w:t>
      </w:r>
      <w:r>
        <w:rPr>
          <w:rFonts w:ascii="宋体" w:hAnsi="宋体" w:eastAsia="宋体"/>
          <w:sz w:val="24"/>
          <w:szCs w:val="24"/>
        </w:rPr>
        <w:t>占东方金钰2017年度合并报表利润总额30,880.39万元的60.80%</w:t>
      </w:r>
      <w:r>
        <w:rPr>
          <w:rFonts w:hint="eastAsia" w:ascii="宋体" w:hAnsi="宋体" w:eastAsia="宋体"/>
          <w:sz w:val="24"/>
          <w:szCs w:val="24"/>
        </w:rPr>
        <w:t>，</w:t>
      </w:r>
      <w:r>
        <w:rPr>
          <w:rFonts w:ascii="宋体" w:hAnsi="宋体" w:eastAsia="宋体"/>
          <w:sz w:val="24"/>
          <w:szCs w:val="24"/>
        </w:rPr>
        <w:t>具有财务重大性。</w:t>
      </w:r>
      <w:r>
        <w:rPr>
          <w:rFonts w:hint="eastAsia" w:ascii="宋体" w:hAnsi="宋体" w:eastAsia="宋体"/>
          <w:sz w:val="24"/>
          <w:szCs w:val="24"/>
        </w:rPr>
        <w:t>B事务所</w:t>
      </w:r>
      <w:r>
        <w:rPr>
          <w:rFonts w:ascii="宋体" w:hAnsi="宋体" w:eastAsia="宋体"/>
          <w:sz w:val="24"/>
          <w:szCs w:val="24"/>
        </w:rPr>
        <w:t>在东方金钰集团</w:t>
      </w:r>
      <w:r>
        <w:rPr>
          <w:rFonts w:hint="eastAsia" w:ascii="宋体" w:hAnsi="宋体" w:eastAsia="宋体"/>
          <w:sz w:val="24"/>
          <w:szCs w:val="24"/>
        </w:rPr>
        <w:t>合并财务报表</w:t>
      </w:r>
      <w:r>
        <w:rPr>
          <w:rFonts w:ascii="宋体" w:hAnsi="宋体" w:eastAsia="宋体"/>
          <w:sz w:val="24"/>
          <w:szCs w:val="24"/>
        </w:rPr>
        <w:t>层面进行简要风险评估</w:t>
      </w:r>
      <w:r>
        <w:rPr>
          <w:rFonts w:hint="eastAsia" w:ascii="宋体" w:hAnsi="宋体" w:eastAsia="宋体"/>
          <w:sz w:val="24"/>
          <w:szCs w:val="24"/>
        </w:rPr>
        <w:t>，</w:t>
      </w:r>
      <w:r>
        <w:rPr>
          <w:rFonts w:ascii="宋体" w:hAnsi="宋体" w:eastAsia="宋体"/>
          <w:sz w:val="24"/>
          <w:szCs w:val="24"/>
        </w:rPr>
        <w:t>但未对重要组成部分姐告宏宁进行充分的风险评估</w:t>
      </w:r>
      <w:r>
        <w:rPr>
          <w:rFonts w:hint="eastAsia" w:ascii="宋体" w:hAnsi="宋体" w:eastAsia="宋体"/>
          <w:sz w:val="24"/>
          <w:szCs w:val="24"/>
        </w:rPr>
        <w:t>，</w:t>
      </w:r>
      <w:r>
        <w:rPr>
          <w:rFonts w:ascii="宋体" w:hAnsi="宋体" w:eastAsia="宋体"/>
          <w:sz w:val="24"/>
          <w:szCs w:val="24"/>
        </w:rPr>
        <w:t>未充分识别、评估由于舞弊或错误导致集团</w:t>
      </w:r>
      <w:r>
        <w:rPr>
          <w:rFonts w:hint="eastAsia" w:ascii="宋体" w:hAnsi="宋体" w:eastAsia="宋体"/>
          <w:sz w:val="24"/>
          <w:szCs w:val="24"/>
        </w:rPr>
        <w:t>合并</w:t>
      </w:r>
      <w:r>
        <w:rPr>
          <w:rFonts w:ascii="宋体" w:hAnsi="宋体" w:eastAsia="宋体"/>
          <w:sz w:val="24"/>
          <w:szCs w:val="24"/>
        </w:rPr>
        <w:t>财务报表发生重大错报的风险</w:t>
      </w:r>
      <w:r>
        <w:rPr>
          <w:rFonts w:hint="eastAsia" w:ascii="宋体" w:hAnsi="宋体" w:eastAsia="宋体"/>
          <w:sz w:val="24"/>
          <w:szCs w:val="24"/>
        </w:rPr>
        <w:t>，</w:t>
      </w:r>
      <w:r>
        <w:rPr>
          <w:rFonts w:ascii="宋体" w:hAnsi="宋体" w:eastAsia="宋体"/>
          <w:sz w:val="24"/>
          <w:szCs w:val="24"/>
        </w:rPr>
        <w:t>未基于收入确认存在舞弊风险的假定</w:t>
      </w:r>
      <w:r>
        <w:rPr>
          <w:rFonts w:hint="eastAsia" w:ascii="宋体" w:hAnsi="宋体" w:eastAsia="宋体"/>
          <w:sz w:val="24"/>
          <w:szCs w:val="24"/>
        </w:rPr>
        <w:t>，</w:t>
      </w:r>
      <w:r>
        <w:rPr>
          <w:rFonts w:ascii="宋体" w:hAnsi="宋体" w:eastAsia="宋体"/>
          <w:sz w:val="24"/>
          <w:szCs w:val="24"/>
        </w:rPr>
        <w:t>将相关收入、收入交易或认定评价为存在舞弊风险</w:t>
      </w:r>
      <w:r>
        <w:rPr>
          <w:rFonts w:hint="eastAsia" w:ascii="宋体" w:hAnsi="宋体" w:eastAsia="宋体"/>
          <w:sz w:val="24"/>
          <w:szCs w:val="24"/>
        </w:rPr>
        <w:t>，</w:t>
      </w:r>
      <w:r>
        <w:rPr>
          <w:rFonts w:ascii="宋体" w:hAnsi="宋体" w:eastAsia="宋体"/>
          <w:sz w:val="24"/>
          <w:szCs w:val="24"/>
        </w:rPr>
        <w:t>也未记录未将收入确认作为由于舞弊导致的重大错报风险领域的理由</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(2)B事务所</w:t>
      </w:r>
      <w:r>
        <w:rPr>
          <w:rFonts w:hint="eastAsia" w:ascii="宋体" w:hAnsi="宋体" w:eastAsia="宋体"/>
          <w:sz w:val="24"/>
          <w:szCs w:val="24"/>
        </w:rPr>
        <w:t>执行的内部控制测试程序存在重大缺陷。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B</w:t>
      </w:r>
      <w:r>
        <w:rPr>
          <w:rFonts w:hint="eastAsia" w:ascii="宋体" w:hAnsi="宋体" w:eastAsia="宋体"/>
          <w:sz w:val="24"/>
          <w:szCs w:val="24"/>
        </w:rPr>
        <w:t>事务所执行的内部控制测试程序不完整：</w:t>
      </w:r>
      <w:r>
        <w:rPr>
          <w:rFonts w:ascii="宋体" w:hAnsi="宋体" w:eastAsia="宋体"/>
          <w:sz w:val="24"/>
          <w:szCs w:val="24"/>
        </w:rPr>
        <w:t>在确定内部控制测试多业务单元范围时</w:t>
      </w:r>
      <w:r>
        <w:rPr>
          <w:rFonts w:hint="eastAsia" w:ascii="宋体" w:hAnsi="宋体" w:eastAsia="宋体"/>
          <w:sz w:val="24"/>
          <w:szCs w:val="24"/>
        </w:rPr>
        <w:t>，</w:t>
      </w:r>
      <w:r>
        <w:rPr>
          <w:rFonts w:ascii="宋体" w:hAnsi="宋体" w:eastAsia="宋体"/>
          <w:sz w:val="24"/>
          <w:szCs w:val="24"/>
        </w:rPr>
        <w:t>B事务所未纳入重要组成部分姐告宏宁</w:t>
      </w:r>
      <w:r>
        <w:rPr>
          <w:rFonts w:hint="eastAsia" w:ascii="宋体" w:hAnsi="宋体" w:eastAsia="宋体"/>
          <w:sz w:val="24"/>
          <w:szCs w:val="24"/>
        </w:rPr>
        <w:t>，</w:t>
      </w:r>
      <w:r>
        <w:rPr>
          <w:rFonts w:ascii="宋体" w:hAnsi="宋体" w:eastAsia="宋体"/>
          <w:sz w:val="24"/>
          <w:szCs w:val="24"/>
        </w:rPr>
        <w:t>控制测试未包含姐告宏宁的销售业务流程</w:t>
      </w:r>
      <w:r>
        <w:rPr>
          <w:rFonts w:hint="eastAsia" w:ascii="宋体" w:hAnsi="宋体" w:eastAsia="宋体"/>
          <w:sz w:val="24"/>
          <w:szCs w:val="24"/>
        </w:rPr>
        <w:t>关键控制点；</w:t>
      </w:r>
      <w:r>
        <w:rPr>
          <w:rFonts w:ascii="宋体" w:hAnsi="宋体" w:eastAsia="宋体"/>
          <w:sz w:val="24"/>
          <w:szCs w:val="24"/>
        </w:rPr>
        <w:t>在销售业务的控制测试中</w:t>
      </w:r>
      <w:r>
        <w:rPr>
          <w:rFonts w:hint="eastAsia" w:ascii="宋体" w:hAnsi="宋体" w:eastAsia="宋体"/>
          <w:sz w:val="24"/>
          <w:szCs w:val="24"/>
        </w:rPr>
        <w:t>，</w:t>
      </w:r>
      <w:r>
        <w:rPr>
          <w:rFonts w:ascii="宋体" w:hAnsi="宋体" w:eastAsia="宋体"/>
          <w:sz w:val="24"/>
          <w:szCs w:val="24"/>
        </w:rPr>
        <w:t>B事务所仅针对客户及信用管理的相关控制点进行测试</w:t>
      </w:r>
      <w:r>
        <w:rPr>
          <w:rFonts w:hint="eastAsia" w:ascii="宋体" w:hAnsi="宋体" w:eastAsia="宋体"/>
          <w:sz w:val="24"/>
          <w:szCs w:val="24"/>
        </w:rPr>
        <w:t>，未对</w:t>
      </w:r>
      <w:r>
        <w:rPr>
          <w:rFonts w:ascii="宋体" w:hAnsi="宋体" w:eastAsia="宋体"/>
          <w:sz w:val="24"/>
          <w:szCs w:val="24"/>
        </w:rPr>
        <w:t>订单录入、发货、记录应收账款、退换货、收款等流程的关键控制点</w:t>
      </w:r>
      <w:r>
        <w:rPr>
          <w:rFonts w:hint="eastAsia" w:ascii="宋体" w:hAnsi="宋体" w:eastAsia="宋体"/>
          <w:sz w:val="24"/>
          <w:szCs w:val="24"/>
        </w:rPr>
        <w:t>进行测试。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B事务所</w:t>
      </w:r>
      <w:r>
        <w:rPr>
          <w:rFonts w:hint="eastAsia" w:ascii="宋体" w:hAnsi="宋体" w:eastAsia="宋体"/>
          <w:sz w:val="24"/>
          <w:szCs w:val="24"/>
        </w:rPr>
        <w:t>未审慎对待控制测试中发现的内部控制执行缺陷，</w:t>
      </w:r>
      <w:r>
        <w:rPr>
          <w:rFonts w:ascii="宋体" w:hAnsi="宋体" w:eastAsia="宋体"/>
          <w:sz w:val="24"/>
          <w:szCs w:val="24"/>
        </w:rPr>
        <w:t>未对审计证据中可能显示内部控制无效的情况保持必要的职业怀疑</w:t>
      </w:r>
      <w:r>
        <w:rPr>
          <w:rFonts w:hint="eastAsia" w:ascii="宋体" w:hAnsi="宋体" w:eastAsia="宋体"/>
          <w:sz w:val="24"/>
          <w:szCs w:val="24"/>
        </w:rPr>
        <w:t>：</w:t>
      </w:r>
      <w:r>
        <w:rPr>
          <w:rFonts w:ascii="宋体" w:hAnsi="宋体" w:eastAsia="宋体"/>
          <w:sz w:val="24"/>
          <w:szCs w:val="24"/>
        </w:rPr>
        <w:t>B事务所发现</w:t>
      </w:r>
      <w:r>
        <w:rPr>
          <w:rFonts w:hint="eastAsia" w:ascii="宋体" w:hAnsi="宋体" w:eastAsia="宋体"/>
          <w:sz w:val="24"/>
          <w:szCs w:val="24"/>
        </w:rPr>
        <w:t>，东方金钰的</w:t>
      </w:r>
      <w:r>
        <w:rPr>
          <w:rFonts w:ascii="宋体" w:hAnsi="宋体" w:eastAsia="宋体"/>
          <w:sz w:val="24"/>
          <w:szCs w:val="24"/>
        </w:rPr>
        <w:t>客户和供应商信息维护存在执行缺陷</w:t>
      </w:r>
      <w:r>
        <w:rPr>
          <w:rFonts w:hint="eastAsia" w:ascii="宋体" w:hAnsi="宋体" w:eastAsia="宋体"/>
          <w:sz w:val="24"/>
          <w:szCs w:val="24"/>
        </w:rPr>
        <w:t>，</w:t>
      </w:r>
      <w:r>
        <w:rPr>
          <w:rFonts w:ascii="宋体" w:hAnsi="宋体" w:eastAsia="宋体"/>
          <w:sz w:val="24"/>
          <w:szCs w:val="24"/>
        </w:rPr>
        <w:t>缺陷可能造成未经授权和审批的收入确认</w:t>
      </w:r>
      <w:r>
        <w:rPr>
          <w:rFonts w:hint="eastAsia" w:ascii="宋体" w:hAnsi="宋体" w:eastAsia="宋体"/>
          <w:sz w:val="24"/>
          <w:szCs w:val="24"/>
        </w:rPr>
        <w:t>；</w:t>
      </w:r>
      <w:r>
        <w:rPr>
          <w:rFonts w:ascii="宋体" w:hAnsi="宋体" w:eastAsia="宋体"/>
          <w:sz w:val="24"/>
          <w:szCs w:val="24"/>
        </w:rPr>
        <w:t>姐告宏宁翡翠毛料、原料的采购入库单和销售出库单编号存在采用多种编码形式、未按照时间顺序</w:t>
      </w:r>
      <w:r>
        <w:rPr>
          <w:rFonts w:hint="eastAsia" w:ascii="宋体" w:hAnsi="宋体" w:eastAsia="宋体"/>
          <w:sz w:val="24"/>
          <w:szCs w:val="24"/>
        </w:rPr>
        <w:t>连续编码；</w:t>
      </w:r>
      <w:r>
        <w:rPr>
          <w:rFonts w:ascii="宋体" w:hAnsi="宋体" w:eastAsia="宋体"/>
          <w:sz w:val="24"/>
          <w:szCs w:val="24"/>
        </w:rPr>
        <w:t>姐告宏宁的记账凭证的制证、复核、记账、会计主管均为张某科一人</w:t>
      </w:r>
      <w:r>
        <w:rPr>
          <w:rFonts w:hint="eastAsia" w:ascii="宋体" w:hAnsi="宋体" w:eastAsia="宋体"/>
          <w:sz w:val="24"/>
          <w:szCs w:val="24"/>
        </w:rPr>
        <w:t>；</w:t>
      </w:r>
      <w:r>
        <w:rPr>
          <w:rFonts w:ascii="宋体" w:hAnsi="宋体" w:eastAsia="宋体"/>
          <w:sz w:val="24"/>
          <w:szCs w:val="24"/>
        </w:rPr>
        <w:t>对营业收入执行细节测试时</w:t>
      </w:r>
      <w:r>
        <w:rPr>
          <w:rFonts w:hint="eastAsia" w:ascii="宋体" w:hAnsi="宋体" w:eastAsia="宋体"/>
          <w:sz w:val="24"/>
          <w:szCs w:val="24"/>
        </w:rPr>
        <w:t>，</w:t>
      </w:r>
      <w:r>
        <w:rPr>
          <w:rFonts w:ascii="宋体" w:hAnsi="宋体" w:eastAsia="宋体"/>
          <w:sz w:val="24"/>
          <w:szCs w:val="24"/>
        </w:rPr>
        <w:t>获取的相关记账凭证所附单据在报告期内未保持一致</w:t>
      </w:r>
      <w:r>
        <w:rPr>
          <w:rFonts w:hint="eastAsia" w:ascii="宋体" w:hAnsi="宋体" w:eastAsia="宋体"/>
          <w:sz w:val="24"/>
          <w:szCs w:val="24"/>
        </w:rPr>
        <w:t>等异常情况，</w:t>
      </w:r>
      <w:r>
        <w:rPr>
          <w:rFonts w:ascii="宋体" w:hAnsi="宋体" w:eastAsia="宋体"/>
          <w:sz w:val="24"/>
          <w:szCs w:val="24"/>
        </w:rPr>
        <w:t>B事务所未向治理层和管理层通报内部控制缺陷</w:t>
      </w:r>
      <w:r>
        <w:rPr>
          <w:rFonts w:hint="eastAsia" w:ascii="宋体" w:hAnsi="宋体" w:eastAsia="宋体"/>
          <w:sz w:val="24"/>
          <w:szCs w:val="24"/>
        </w:rPr>
        <w:t>，</w:t>
      </w:r>
      <w:r>
        <w:rPr>
          <w:rFonts w:ascii="宋体" w:hAnsi="宋体" w:eastAsia="宋体"/>
          <w:sz w:val="24"/>
          <w:szCs w:val="24"/>
        </w:rPr>
        <w:t>未</w:t>
      </w:r>
      <w:r>
        <w:rPr>
          <w:rFonts w:hint="eastAsia" w:ascii="宋体" w:hAnsi="宋体" w:eastAsia="宋体"/>
          <w:sz w:val="24"/>
          <w:szCs w:val="24"/>
        </w:rPr>
        <w:t>相应</w:t>
      </w:r>
      <w:r>
        <w:rPr>
          <w:rFonts w:ascii="宋体" w:hAnsi="宋体" w:eastAsia="宋体"/>
          <w:sz w:val="24"/>
          <w:szCs w:val="24"/>
        </w:rPr>
        <w:t>修</w:t>
      </w:r>
      <w:r>
        <w:rPr>
          <w:rFonts w:hint="eastAsia" w:ascii="宋体" w:hAnsi="宋体" w:eastAsia="宋体"/>
          <w:sz w:val="24"/>
          <w:szCs w:val="24"/>
        </w:rPr>
        <w:t>订</w:t>
      </w:r>
      <w:r>
        <w:rPr>
          <w:rFonts w:ascii="宋体" w:hAnsi="宋体" w:eastAsia="宋体"/>
          <w:sz w:val="24"/>
          <w:szCs w:val="24"/>
        </w:rPr>
        <w:t>风险评估结果</w:t>
      </w:r>
      <w:r>
        <w:rPr>
          <w:rFonts w:hint="eastAsia" w:ascii="宋体" w:hAnsi="宋体" w:eastAsia="宋体"/>
          <w:sz w:val="24"/>
          <w:szCs w:val="24"/>
        </w:rPr>
        <w:t>，未进一步修改审计程序的性质、时间安排和范围，以应对可能由于舞弊导致的重大错报风险。</w:t>
      </w:r>
    </w:p>
    <w:p>
      <w:pPr>
        <w:spacing w:line="360" w:lineRule="auto"/>
        <w:ind w:firstLine="480" w:firstLineChars="200"/>
        <w:rPr>
          <w:rFonts w:ascii="宋体" w:hAnsi="宋体" w:eastAsia="宋体"/>
          <w:sz w:val="24"/>
          <w:szCs w:val="24"/>
        </w:rPr>
      </w:pPr>
      <w:r>
        <w:rPr>
          <w:rFonts w:ascii="宋体" w:hAnsi="宋体" w:eastAsia="宋体"/>
          <w:sz w:val="24"/>
          <w:szCs w:val="24"/>
        </w:rPr>
        <w:t>(3)B事务所</w:t>
      </w:r>
      <w:r>
        <w:rPr>
          <w:rFonts w:hint="eastAsia" w:ascii="宋体" w:hAnsi="宋体" w:eastAsia="宋体"/>
          <w:sz w:val="24"/>
          <w:szCs w:val="24"/>
        </w:rPr>
        <w:t>执行与收入相关的实质性审计程序存在重大缺陷，</w:t>
      </w:r>
      <w:r>
        <w:rPr>
          <w:rFonts w:ascii="宋体" w:hAnsi="宋体" w:eastAsia="宋体"/>
          <w:sz w:val="24"/>
          <w:szCs w:val="24"/>
        </w:rPr>
        <w:t>未对销售业务相关</w:t>
      </w:r>
      <w:r>
        <w:rPr>
          <w:rFonts w:hint="eastAsia" w:ascii="宋体" w:hAnsi="宋体" w:eastAsia="宋体"/>
          <w:sz w:val="24"/>
          <w:szCs w:val="24"/>
        </w:rPr>
        <w:t>的报表</w:t>
      </w:r>
      <w:r>
        <w:rPr>
          <w:rFonts w:ascii="宋体" w:hAnsi="宋体" w:eastAsia="宋体"/>
          <w:sz w:val="24"/>
          <w:szCs w:val="24"/>
        </w:rPr>
        <w:t>科目获取充分、适当的审计证据</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B事务所未审慎核查并评价姐告宏宁与自然人客户之间发生大额翡翠原石交易的商业理由，未对代理交易保持必要的职业怀疑，评价其是否表明存在舞弊风险并实施进一步审计程序</w:t>
      </w:r>
      <w:r>
        <w:rPr>
          <w:rFonts w:hint="eastAsia" w:ascii="宋体" w:hAnsi="宋体" w:eastAsia="宋体"/>
          <w:sz w:val="24"/>
          <w:szCs w:val="24"/>
        </w:rPr>
        <w:t>：姐告宏宁</w:t>
      </w:r>
      <w:r>
        <w:rPr>
          <w:rFonts w:ascii="宋体" w:hAnsi="宋体" w:eastAsia="宋体"/>
          <w:sz w:val="24"/>
          <w:szCs w:val="24"/>
        </w:rPr>
        <w:t>2017年</w:t>
      </w:r>
      <w:r>
        <w:rPr>
          <w:rFonts w:hint="eastAsia" w:ascii="宋体" w:hAnsi="宋体" w:eastAsia="宋体"/>
          <w:sz w:val="24"/>
          <w:szCs w:val="24"/>
        </w:rPr>
        <w:t>销售</w:t>
      </w:r>
      <w:r>
        <w:rPr>
          <w:rFonts w:ascii="宋体" w:hAnsi="宋体" w:eastAsia="宋体"/>
          <w:sz w:val="24"/>
          <w:szCs w:val="24"/>
        </w:rPr>
        <w:t>毛利率高达62.57%</w:t>
      </w:r>
      <w:r>
        <w:rPr>
          <w:rFonts w:hint="eastAsia" w:ascii="宋体" w:hAnsi="宋体" w:eastAsia="宋体"/>
          <w:sz w:val="24"/>
          <w:szCs w:val="24"/>
        </w:rPr>
        <w:t>，</w:t>
      </w:r>
      <w:r>
        <w:rPr>
          <w:rFonts w:ascii="宋体" w:hAnsi="宋体" w:eastAsia="宋体"/>
          <w:sz w:val="24"/>
          <w:szCs w:val="24"/>
        </w:rPr>
        <w:t>具有重大性和异常性</w:t>
      </w:r>
      <w:r>
        <w:rPr>
          <w:rFonts w:hint="eastAsia" w:ascii="宋体" w:hAnsi="宋体" w:eastAsia="宋体"/>
          <w:sz w:val="24"/>
          <w:szCs w:val="24"/>
        </w:rPr>
        <w:t>，</w:t>
      </w:r>
      <w:r>
        <w:rPr>
          <w:rFonts w:ascii="宋体" w:hAnsi="宋体" w:eastAsia="宋体"/>
          <w:sz w:val="24"/>
          <w:szCs w:val="24"/>
        </w:rPr>
        <w:t>B事务所未充分分析、验证其合理性</w:t>
      </w:r>
      <w:r>
        <w:rPr>
          <w:rFonts w:hint="eastAsia" w:ascii="宋体" w:hAnsi="宋体" w:eastAsia="宋体"/>
          <w:sz w:val="24"/>
          <w:szCs w:val="24"/>
        </w:rPr>
        <w:t>，</w:t>
      </w:r>
      <w:r>
        <w:rPr>
          <w:rFonts w:ascii="宋体" w:hAnsi="宋体" w:eastAsia="宋体"/>
          <w:sz w:val="24"/>
          <w:szCs w:val="24"/>
        </w:rPr>
        <w:t>亦未充分了解自然人客户的背景</w:t>
      </w:r>
      <w:r>
        <w:rPr>
          <w:rFonts w:hint="eastAsia" w:ascii="宋体" w:hAnsi="宋体" w:eastAsia="宋体"/>
          <w:sz w:val="24"/>
          <w:szCs w:val="24"/>
        </w:rPr>
        <w:t>，</w:t>
      </w:r>
      <w:r>
        <w:rPr>
          <w:rFonts w:ascii="宋体" w:hAnsi="宋体" w:eastAsia="宋体"/>
          <w:sz w:val="24"/>
          <w:szCs w:val="24"/>
        </w:rPr>
        <w:t>以评估客户购买翡翠原石的能力</w:t>
      </w:r>
      <w:r>
        <w:rPr>
          <w:rFonts w:hint="eastAsia" w:ascii="宋体" w:hAnsi="宋体" w:eastAsia="宋体"/>
          <w:sz w:val="24"/>
          <w:szCs w:val="24"/>
        </w:rPr>
        <w:t>，</w:t>
      </w:r>
      <w:r>
        <w:rPr>
          <w:rFonts w:ascii="宋体" w:hAnsi="宋体" w:eastAsia="宋体"/>
          <w:sz w:val="24"/>
          <w:szCs w:val="24"/>
        </w:rPr>
        <w:t>进而分析交易是否存在合理的商业理由</w:t>
      </w:r>
      <w:r>
        <w:rPr>
          <w:rFonts w:hint="eastAsia" w:ascii="宋体" w:hAnsi="宋体" w:eastAsia="宋体"/>
          <w:sz w:val="24"/>
          <w:szCs w:val="24"/>
        </w:rPr>
        <w:t>；</w:t>
      </w:r>
      <w:r>
        <w:rPr>
          <w:rFonts w:ascii="宋体" w:hAnsi="宋体" w:eastAsia="宋体"/>
          <w:sz w:val="24"/>
          <w:szCs w:val="24"/>
        </w:rPr>
        <w:t>B事务所未进一步核实姐告宏宁的销售交易是否存在代理交易的情况</w:t>
      </w:r>
      <w:r>
        <w:rPr>
          <w:rFonts w:hint="eastAsia" w:ascii="宋体" w:hAnsi="宋体" w:eastAsia="宋体"/>
          <w:sz w:val="24"/>
          <w:szCs w:val="24"/>
        </w:rPr>
        <w:t>，</w:t>
      </w:r>
      <w:r>
        <w:rPr>
          <w:rFonts w:ascii="宋体" w:hAnsi="宋体" w:eastAsia="宋体"/>
          <w:sz w:val="24"/>
          <w:szCs w:val="24"/>
        </w:rPr>
        <w:t>并评价此种交易安排的商业合理性</w:t>
      </w:r>
      <w:r>
        <w:rPr>
          <w:rFonts w:hint="eastAsia" w:ascii="宋体" w:hAnsi="宋体" w:eastAsia="宋体"/>
          <w:sz w:val="24"/>
          <w:szCs w:val="24"/>
        </w:rPr>
        <w:t>，</w:t>
      </w:r>
      <w:r>
        <w:rPr>
          <w:rFonts w:ascii="宋体" w:hAnsi="宋体" w:eastAsia="宋体"/>
          <w:sz w:val="24"/>
          <w:szCs w:val="24"/>
        </w:rPr>
        <w:t>未实施相</w:t>
      </w:r>
      <w:r>
        <w:rPr>
          <w:rFonts w:hint="eastAsia" w:ascii="宋体" w:hAnsi="宋体" w:eastAsia="宋体"/>
          <w:sz w:val="24"/>
          <w:szCs w:val="24"/>
        </w:rPr>
        <w:t>关程序核实相关交易是否存在真实交易对手方或存在虚构销售交易的舞弊可能。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B事务所</w:t>
      </w:r>
      <w:r>
        <w:rPr>
          <w:rFonts w:hint="eastAsia" w:ascii="宋体" w:hAnsi="宋体" w:eastAsia="宋体"/>
          <w:sz w:val="24"/>
          <w:szCs w:val="24"/>
        </w:rPr>
        <w:t>未对应收账款、预收账款等科目的函证保持有效控制，也未对营业收入的回函保持合理怀疑，未获取进一步审计证据消除函证回函可靠性的疑虑。</w:t>
      </w:r>
    </w:p>
    <w:p>
      <w:pPr>
        <w:spacing w:line="360" w:lineRule="auto"/>
        <w:ind w:firstLine="504"/>
        <w:rPr>
          <w:rFonts w:ascii="宋体" w:hAnsi="宋体" w:eastAsia="宋体"/>
          <w:sz w:val="24"/>
          <w:szCs w:val="24"/>
        </w:rPr>
      </w:pPr>
      <w:r>
        <w:rPr>
          <w:rFonts w:ascii="宋体" w:hAnsi="宋体" w:eastAsia="宋体"/>
          <w:sz w:val="24"/>
          <w:szCs w:val="24"/>
        </w:rPr>
        <w:t>B事务所在发函前未核实被函证对象的身份、联系电话和地址</w:t>
      </w:r>
      <w:r>
        <w:rPr>
          <w:rFonts w:hint="eastAsia" w:ascii="宋体" w:hAnsi="宋体" w:eastAsia="宋体"/>
          <w:sz w:val="24"/>
          <w:szCs w:val="24"/>
        </w:rPr>
        <w:t>，</w:t>
      </w:r>
      <w:r>
        <w:rPr>
          <w:rFonts w:ascii="宋体" w:hAnsi="宋体" w:eastAsia="宋体"/>
          <w:sz w:val="24"/>
          <w:szCs w:val="24"/>
        </w:rPr>
        <w:t>未发现部分供应商、客户的联系电话与姐告宏宁财务室、员工及关联方相关人员相同</w:t>
      </w:r>
      <w:r>
        <w:rPr>
          <w:rFonts w:hint="eastAsia" w:ascii="宋体" w:hAnsi="宋体" w:eastAsia="宋体"/>
          <w:sz w:val="24"/>
          <w:szCs w:val="24"/>
        </w:rPr>
        <w:t>，</w:t>
      </w:r>
      <w:r>
        <w:rPr>
          <w:rFonts w:ascii="宋体" w:hAnsi="宋体" w:eastAsia="宋体"/>
          <w:sz w:val="24"/>
          <w:szCs w:val="24"/>
        </w:rPr>
        <w:t>询证函未送达至函证对象等异常情况</w:t>
      </w:r>
      <w:r>
        <w:rPr>
          <w:rFonts w:hint="eastAsia" w:ascii="宋体" w:hAnsi="宋体" w:eastAsia="宋体"/>
          <w:sz w:val="24"/>
          <w:szCs w:val="24"/>
        </w:rPr>
        <w:t>；</w:t>
      </w:r>
      <w:r>
        <w:rPr>
          <w:rFonts w:ascii="宋体" w:hAnsi="宋体" w:eastAsia="宋体"/>
          <w:sz w:val="24"/>
          <w:szCs w:val="24"/>
        </w:rPr>
        <w:t>B事务所未关注到回函联系信息与发函相关信息不一致的异常情况</w:t>
      </w:r>
      <w:r>
        <w:rPr>
          <w:rFonts w:hint="eastAsia" w:ascii="宋体" w:hAnsi="宋体" w:eastAsia="宋体"/>
          <w:sz w:val="24"/>
          <w:szCs w:val="24"/>
        </w:rPr>
        <w:t>，</w:t>
      </w:r>
      <w:r>
        <w:rPr>
          <w:rFonts w:ascii="宋体" w:hAnsi="宋体" w:eastAsia="宋体"/>
          <w:sz w:val="24"/>
          <w:szCs w:val="24"/>
        </w:rPr>
        <w:t>如多份回函联系地址与发函地址不一致等</w:t>
      </w:r>
      <w:r>
        <w:rPr>
          <w:rFonts w:hint="eastAsia" w:ascii="宋体" w:hAnsi="宋体" w:eastAsia="宋体"/>
          <w:sz w:val="24"/>
          <w:szCs w:val="24"/>
        </w:rPr>
        <w:t>；</w:t>
      </w:r>
      <w:r>
        <w:rPr>
          <w:rFonts w:ascii="宋体" w:hAnsi="宋体" w:eastAsia="宋体"/>
          <w:sz w:val="24"/>
          <w:szCs w:val="24"/>
        </w:rPr>
        <w:t>B事务所在向6名自然人客户发函询证</w:t>
      </w:r>
      <w:r>
        <w:rPr>
          <w:rFonts w:hint="eastAsia" w:ascii="宋体" w:hAnsi="宋体" w:eastAsia="宋体"/>
          <w:sz w:val="24"/>
          <w:szCs w:val="24"/>
        </w:rPr>
        <w:t>时，</w:t>
      </w:r>
      <w:r>
        <w:rPr>
          <w:rFonts w:ascii="宋体" w:hAnsi="宋体" w:eastAsia="宋体"/>
          <w:sz w:val="24"/>
          <w:szCs w:val="24"/>
        </w:rPr>
        <w:t>2017年营业收入填列的交易金额错误</w:t>
      </w:r>
      <w:r>
        <w:rPr>
          <w:rFonts w:hint="eastAsia" w:ascii="宋体" w:hAnsi="宋体" w:eastAsia="宋体"/>
          <w:sz w:val="24"/>
          <w:szCs w:val="24"/>
        </w:rPr>
        <w:t>，</w:t>
      </w:r>
      <w:r>
        <w:rPr>
          <w:rFonts w:ascii="宋体" w:hAnsi="宋体" w:eastAsia="宋体"/>
          <w:sz w:val="24"/>
          <w:szCs w:val="24"/>
        </w:rPr>
        <w:t>但回函的5位客户均确认该金额</w:t>
      </w:r>
      <w:r>
        <w:rPr>
          <w:rFonts w:hint="eastAsia" w:ascii="宋体" w:hAnsi="宋体" w:eastAsia="宋体"/>
          <w:sz w:val="24"/>
          <w:szCs w:val="24"/>
        </w:rPr>
        <w:t>，B事务所</w:t>
      </w:r>
      <w:r>
        <w:rPr>
          <w:rFonts w:ascii="宋体" w:hAnsi="宋体" w:eastAsia="宋体"/>
          <w:sz w:val="24"/>
          <w:szCs w:val="24"/>
        </w:rPr>
        <w:t>未对回函确认错误销售额的异常情况保持合理怀疑</w:t>
      </w:r>
      <w:r>
        <w:rPr>
          <w:rFonts w:hint="eastAsia" w:ascii="宋体" w:hAnsi="宋体" w:eastAsia="宋体"/>
          <w:sz w:val="24"/>
          <w:szCs w:val="24"/>
        </w:rPr>
        <w:t>，</w:t>
      </w:r>
      <w:r>
        <w:rPr>
          <w:rFonts w:ascii="宋体" w:hAnsi="宋体" w:eastAsia="宋体"/>
          <w:sz w:val="24"/>
          <w:szCs w:val="24"/>
        </w:rPr>
        <w:t>未结合函证控制情况审慎评价询证函回函的可靠性</w:t>
      </w:r>
      <w:r>
        <w:rPr>
          <w:rFonts w:hint="eastAsia" w:ascii="宋体" w:hAnsi="宋体" w:eastAsia="宋体"/>
          <w:sz w:val="24"/>
          <w:szCs w:val="24"/>
        </w:rPr>
        <w:t>；在函证程序存在上述重大瑕疵、审计证据可靠性存疑的情况下，</w:t>
      </w:r>
      <w:r>
        <w:rPr>
          <w:rFonts w:ascii="宋体" w:hAnsi="宋体" w:eastAsia="宋体"/>
          <w:sz w:val="24"/>
          <w:szCs w:val="24"/>
        </w:rPr>
        <w:t>B事务所</w:t>
      </w:r>
      <w:r>
        <w:rPr>
          <w:rFonts w:hint="eastAsia" w:ascii="宋体" w:hAnsi="宋体" w:eastAsia="宋体"/>
          <w:sz w:val="24"/>
          <w:szCs w:val="24"/>
        </w:rPr>
        <w:t>未对姐告宏宁大幅超过重要性水平的销售收入执行其他细节测试。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w:t>
      </w:r>
      <w:r>
        <w:rPr>
          <w:rFonts w:ascii="宋体" w:hAnsi="宋体" w:eastAsia="宋体"/>
          <w:sz w:val="24"/>
          <w:szCs w:val="24"/>
        </w:rPr>
        <w:t>B事务所对主要客户普某腊进行电话访谈,但普某腊的电话号码由姐告宏宁提供</w:t>
      </w:r>
      <w:r>
        <w:rPr>
          <w:rFonts w:hint="eastAsia" w:ascii="宋体" w:hAnsi="宋体" w:eastAsia="宋体"/>
          <w:sz w:val="24"/>
          <w:szCs w:val="24"/>
        </w:rPr>
        <w:t>，</w:t>
      </w:r>
      <w:r>
        <w:rPr>
          <w:rFonts w:ascii="宋体" w:hAnsi="宋体" w:eastAsia="宋体"/>
          <w:sz w:val="24"/>
          <w:szCs w:val="24"/>
        </w:rPr>
        <w:t>且该号码与姐告宏宁提供的函证联系号码不一致</w:t>
      </w:r>
      <w:r>
        <w:rPr>
          <w:rFonts w:hint="eastAsia" w:ascii="宋体" w:hAnsi="宋体" w:eastAsia="宋体"/>
          <w:sz w:val="24"/>
          <w:szCs w:val="24"/>
        </w:rPr>
        <w:t>，</w:t>
      </w:r>
      <w:r>
        <w:rPr>
          <w:rFonts w:ascii="宋体" w:hAnsi="宋体" w:eastAsia="宋体"/>
          <w:sz w:val="24"/>
          <w:szCs w:val="24"/>
        </w:rPr>
        <w:t>B事务所未对该异常予以关注</w:t>
      </w:r>
      <w:r>
        <w:rPr>
          <w:rFonts w:hint="eastAsia" w:ascii="宋体" w:hAnsi="宋体" w:eastAsia="宋体"/>
          <w:sz w:val="24"/>
          <w:szCs w:val="24"/>
        </w:rPr>
        <w:t>，</w:t>
      </w:r>
      <w:r>
        <w:rPr>
          <w:rFonts w:ascii="宋体" w:hAnsi="宋体" w:eastAsia="宋体"/>
          <w:sz w:val="24"/>
          <w:szCs w:val="24"/>
        </w:rPr>
        <w:t>也未采取有效措施核实其身份</w:t>
      </w:r>
      <w:r>
        <w:rPr>
          <w:rFonts w:hint="eastAsia" w:ascii="宋体" w:hAnsi="宋体" w:eastAsia="宋体"/>
          <w:sz w:val="24"/>
          <w:szCs w:val="24"/>
        </w:rPr>
        <w:t>，</w:t>
      </w:r>
      <w:r>
        <w:rPr>
          <w:rFonts w:ascii="宋体" w:hAnsi="宋体" w:eastAsia="宋体"/>
          <w:sz w:val="24"/>
          <w:szCs w:val="24"/>
        </w:rPr>
        <w:t>未能发现上述号码均非普某腊本人</w:t>
      </w:r>
      <w:r>
        <w:rPr>
          <w:rFonts w:hint="eastAsia" w:ascii="宋体" w:hAnsi="宋体" w:eastAsia="宋体"/>
          <w:sz w:val="24"/>
          <w:szCs w:val="24"/>
        </w:rPr>
        <w:t>。</w:t>
      </w:r>
    </w:p>
    <w:p>
      <w:pPr>
        <w:pStyle w:val="3"/>
      </w:pPr>
      <w:bookmarkStart w:id="102" w:name="_Toc154133379"/>
      <w:bookmarkEnd w:id="102"/>
      <w:bookmarkStart w:id="103" w:name="_Toc155888682"/>
      <w:bookmarkEnd w:id="103"/>
      <w:bookmarkStart w:id="104" w:name="_Toc155286749"/>
      <w:bookmarkEnd w:id="104"/>
      <w:bookmarkStart w:id="105" w:name="_Toc155349179"/>
      <w:bookmarkEnd w:id="105"/>
      <w:bookmarkStart w:id="106" w:name="_Toc155345547"/>
      <w:bookmarkEnd w:id="106"/>
      <w:bookmarkStart w:id="107" w:name="_Toc154133380"/>
      <w:bookmarkEnd w:id="107"/>
      <w:bookmarkStart w:id="108" w:name="_Toc156488392"/>
      <w:bookmarkEnd w:id="108"/>
      <w:bookmarkStart w:id="109" w:name="_Toc155349180"/>
      <w:bookmarkEnd w:id="109"/>
      <w:bookmarkStart w:id="110" w:name="_Toc156488393"/>
      <w:bookmarkEnd w:id="110"/>
      <w:bookmarkStart w:id="111" w:name="_Toc154133367"/>
      <w:bookmarkEnd w:id="111"/>
      <w:bookmarkStart w:id="112" w:name="_Toc154129439"/>
      <w:bookmarkEnd w:id="112"/>
      <w:bookmarkStart w:id="113" w:name="_Toc156486677"/>
      <w:bookmarkEnd w:id="113"/>
      <w:bookmarkStart w:id="114" w:name="_Toc155344323"/>
      <w:bookmarkEnd w:id="114"/>
      <w:bookmarkStart w:id="115" w:name="_Toc155344322"/>
      <w:bookmarkEnd w:id="115"/>
      <w:bookmarkStart w:id="116" w:name="_Toc155344867"/>
      <w:bookmarkEnd w:id="116"/>
      <w:bookmarkStart w:id="117" w:name="_Toc156488359"/>
      <w:bookmarkEnd w:id="117"/>
      <w:bookmarkStart w:id="118" w:name="_Toc154133366"/>
      <w:bookmarkEnd w:id="118"/>
      <w:bookmarkStart w:id="119" w:name="_Toc156486676"/>
      <w:bookmarkEnd w:id="119"/>
      <w:bookmarkStart w:id="120" w:name="_Toc155888659"/>
      <w:bookmarkEnd w:id="120"/>
      <w:bookmarkStart w:id="121" w:name="_Toc155344868"/>
      <w:bookmarkEnd w:id="121"/>
      <w:bookmarkStart w:id="122" w:name="_Toc155344303"/>
      <w:bookmarkEnd w:id="122"/>
      <w:bookmarkStart w:id="123" w:name="_Toc155345546"/>
      <w:bookmarkEnd w:id="123"/>
      <w:bookmarkStart w:id="124" w:name="_Toc155888683"/>
      <w:bookmarkEnd w:id="124"/>
      <w:bookmarkStart w:id="125" w:name="_Toc156228053"/>
      <w:bookmarkEnd w:id="125"/>
      <w:bookmarkStart w:id="126" w:name="_Toc155344304"/>
      <w:bookmarkEnd w:id="126"/>
      <w:bookmarkStart w:id="127" w:name="_Toc155286748"/>
      <w:bookmarkEnd w:id="127"/>
      <w:bookmarkStart w:id="128" w:name="_Toc156228052"/>
      <w:bookmarkEnd w:id="128"/>
      <w:bookmarkStart w:id="129" w:name="_Toc156488360"/>
      <w:bookmarkEnd w:id="129"/>
      <w:bookmarkStart w:id="130" w:name="_Toc155342566"/>
      <w:bookmarkEnd w:id="130"/>
      <w:bookmarkStart w:id="131" w:name="_Toc154129440"/>
      <w:bookmarkEnd w:id="131"/>
      <w:bookmarkStart w:id="132" w:name="_Toc155888660"/>
      <w:bookmarkEnd w:id="132"/>
      <w:bookmarkStart w:id="133" w:name="_Toc155342567"/>
      <w:bookmarkEnd w:id="133"/>
      <w:bookmarkStart w:id="134" w:name="_Toc161346784"/>
      <w:r>
        <w:rPr>
          <w:rFonts w:hint="eastAsia"/>
        </w:rPr>
        <w:t>3.蓝山科技舞弊案例</w:t>
      </w:r>
      <w:bookmarkEnd w:id="134"/>
    </w:p>
    <w:p>
      <w:pPr>
        <w:spacing w:line="360" w:lineRule="auto"/>
        <w:ind w:firstLine="490"/>
        <w:rPr>
          <w:rFonts w:ascii="宋体" w:hAnsi="宋体" w:eastAsia="宋体"/>
          <w:sz w:val="24"/>
          <w:szCs w:val="24"/>
        </w:rPr>
      </w:pPr>
      <w:r>
        <w:rPr>
          <w:rFonts w:hint="eastAsia" w:ascii="宋体" w:hAnsi="宋体" w:eastAsia="宋体"/>
          <w:sz w:val="24"/>
          <w:szCs w:val="24"/>
        </w:rPr>
        <w:t>北京蓝山科技股份有限公司（</w:t>
      </w:r>
      <w:r>
        <w:rPr>
          <w:rFonts w:ascii="宋体" w:hAnsi="宋体" w:eastAsia="宋体"/>
          <w:sz w:val="24"/>
          <w:szCs w:val="24"/>
        </w:rPr>
        <w:t>以下简称蓝山科技</w:t>
      </w:r>
      <w:r>
        <w:rPr>
          <w:rFonts w:hint="eastAsia" w:ascii="宋体" w:hAnsi="宋体" w:eastAsia="宋体"/>
          <w:sz w:val="24"/>
          <w:szCs w:val="24"/>
        </w:rPr>
        <w:t>）成立于2005</w:t>
      </w:r>
      <w:r>
        <w:rPr>
          <w:rFonts w:ascii="宋体" w:hAnsi="宋体" w:eastAsia="宋体"/>
          <w:sz w:val="24"/>
          <w:szCs w:val="24"/>
        </w:rPr>
        <w:t>年</w:t>
      </w:r>
      <w:r>
        <w:rPr>
          <w:rFonts w:hint="eastAsia" w:ascii="宋体" w:hAnsi="宋体" w:eastAsia="宋体"/>
          <w:sz w:val="24"/>
          <w:szCs w:val="24"/>
        </w:rPr>
        <w:t>9</w:t>
      </w:r>
      <w:r>
        <w:rPr>
          <w:rFonts w:ascii="宋体" w:hAnsi="宋体" w:eastAsia="宋体"/>
          <w:sz w:val="24"/>
          <w:szCs w:val="24"/>
        </w:rPr>
        <w:t>月，主要从事</w:t>
      </w:r>
      <w:r>
        <w:rPr>
          <w:rFonts w:hint="eastAsia" w:ascii="宋体" w:hAnsi="宋体" w:eastAsia="宋体"/>
          <w:sz w:val="24"/>
          <w:szCs w:val="24"/>
        </w:rPr>
        <w:t>光纤收发器、</w:t>
      </w:r>
      <w:r>
        <w:rPr>
          <w:rFonts w:ascii="宋体" w:hAnsi="宋体" w:eastAsia="宋体"/>
          <w:sz w:val="24"/>
          <w:szCs w:val="24"/>
        </w:rPr>
        <w:t>IP交换机、光端机等光通信</w:t>
      </w:r>
      <w:r>
        <w:rPr>
          <w:rFonts w:hint="eastAsia" w:ascii="宋体" w:hAnsi="宋体" w:eastAsia="宋体"/>
          <w:sz w:val="24"/>
          <w:szCs w:val="24"/>
        </w:rPr>
        <w:t>设备</w:t>
      </w:r>
      <w:r>
        <w:rPr>
          <w:rFonts w:ascii="宋体" w:hAnsi="宋体" w:eastAsia="宋体"/>
          <w:sz w:val="24"/>
          <w:szCs w:val="24"/>
        </w:rPr>
        <w:t>产品的研发、生产和销售</w:t>
      </w:r>
      <w:r>
        <w:rPr>
          <w:rFonts w:hint="eastAsia" w:ascii="宋体" w:hAnsi="宋体" w:eastAsia="宋体"/>
          <w:sz w:val="24"/>
          <w:szCs w:val="24"/>
        </w:rPr>
        <w:t>。</w:t>
      </w:r>
      <w:r>
        <w:rPr>
          <w:rFonts w:ascii="宋体" w:hAnsi="宋体" w:eastAsia="宋体"/>
          <w:sz w:val="24"/>
          <w:szCs w:val="24"/>
        </w:rPr>
        <w:t>2020年4月</w:t>
      </w:r>
      <w:r>
        <w:rPr>
          <w:rFonts w:hint="eastAsia" w:ascii="宋体" w:hAnsi="宋体" w:eastAsia="宋体"/>
          <w:sz w:val="24"/>
          <w:szCs w:val="24"/>
        </w:rPr>
        <w:t>，</w:t>
      </w:r>
      <w:r>
        <w:rPr>
          <w:rFonts w:ascii="宋体" w:hAnsi="宋体" w:eastAsia="宋体"/>
          <w:sz w:val="24"/>
          <w:szCs w:val="24"/>
        </w:rPr>
        <w:t>蓝山科技向全国中小企业股份转让系统有限责任公司提交《公开发行说明书》并进行公告。</w:t>
      </w:r>
    </w:p>
    <w:p>
      <w:pPr>
        <w:spacing w:line="360" w:lineRule="auto"/>
        <w:ind w:firstLine="490"/>
        <w:rPr>
          <w:rFonts w:ascii="宋体" w:hAnsi="宋体" w:eastAsia="宋体"/>
          <w:sz w:val="24"/>
          <w:szCs w:val="24"/>
        </w:rPr>
      </w:pPr>
      <w:r>
        <w:rPr>
          <w:rFonts w:hint="eastAsia" w:ascii="宋体" w:hAnsi="宋体" w:eastAsia="宋体"/>
          <w:sz w:val="24"/>
          <w:szCs w:val="24"/>
        </w:rPr>
        <w:t>根据中国证监会行政处罚决定书〔</w:t>
      </w:r>
      <w:r>
        <w:rPr>
          <w:rFonts w:ascii="宋体" w:hAnsi="宋体" w:eastAsia="宋体"/>
          <w:sz w:val="24"/>
          <w:szCs w:val="24"/>
        </w:rPr>
        <w:t>20</w:t>
      </w:r>
      <w:r>
        <w:rPr>
          <w:rFonts w:hint="eastAsia" w:ascii="宋体" w:hAnsi="宋体" w:eastAsia="宋体"/>
          <w:sz w:val="24"/>
          <w:szCs w:val="24"/>
        </w:rPr>
        <w:t>21</w:t>
      </w:r>
      <w:r>
        <w:rPr>
          <w:rFonts w:ascii="宋体" w:hAnsi="宋体" w:eastAsia="宋体"/>
          <w:sz w:val="24"/>
          <w:szCs w:val="24"/>
        </w:rPr>
        <w:t>〕</w:t>
      </w:r>
      <w:r>
        <w:rPr>
          <w:rFonts w:hint="eastAsia" w:ascii="宋体" w:hAnsi="宋体" w:eastAsia="宋体"/>
          <w:sz w:val="24"/>
          <w:szCs w:val="24"/>
        </w:rPr>
        <w:t>98</w:t>
      </w:r>
      <w:r>
        <w:rPr>
          <w:rFonts w:ascii="宋体" w:hAnsi="宋体" w:eastAsia="宋体"/>
          <w:sz w:val="24"/>
          <w:szCs w:val="24"/>
        </w:rPr>
        <w:t>号</w:t>
      </w:r>
      <w:r>
        <w:rPr>
          <w:rFonts w:hint="eastAsia" w:ascii="宋体" w:hAnsi="宋体" w:eastAsia="宋体"/>
          <w:sz w:val="24"/>
          <w:szCs w:val="24"/>
        </w:rPr>
        <w:t>，蓝山科技2017年至2019年期间实施财务舞弊，虚增收入，具体情况简述如下：</w: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132715</wp:posOffset>
                </wp:positionV>
                <wp:extent cx="5416550" cy="43688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5416550" cy="43688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top:10.45pt;height:344pt;width:426.5pt;mso-position-horizontal:center;mso-position-horizontal-relative:margin;z-index:251700224;v-text-anchor:middle;mso-width-relative:page;mso-height-relative:page;" filled="f" stroked="t" coordsize="21600,21600" o:gfxdata="UEsDBAoAAAAAAIdO4kAAAAAAAAAAAAAAAAAEAAAAZHJzL1BLAwQUAAAACACHTuJAzRF1mtUAAAAH&#10;AQAADwAAAGRycy9kb3ducmV2LnhtbE2PzU7DMBCE70i8g7VI3KidltI0ZFMhJK5ItHB3Y+entddR&#10;7LSlT89yguPOjGa+LTcX78TJjrEPhJDNFAhLdTA9tQifu7eHHERMmox2gSzCt42wqW5vSl2YcKYP&#10;e9qmVnAJxUIjdCkNhZSx7qzXcRYGS+w1YfQ68Tm20oz6zOXeyblST9Lrnnih04N97Wx93E4eIbxc&#10;F4/v/svJdsqbZhUP2dJcEe/vMvUMItlL+gvDLz6jQ8VM+zCRicIh8CMJYa7WINjNlwsW9ggrla9B&#10;VqX8z1/9AFBLAwQUAAAACACHTuJAN1c5WG4CAADxBAAADgAAAGRycy9lMm9Eb2MueG1srVRNbxox&#10;EL1X6n+wfG8WCFCKskQoiKpS1KCmVc/G69215K/ahiX99X32bgJKe8ihHJaxZ/zG8+aNb25PWpGj&#10;8EFaU9Lx1YgSYbitpGlK+uP79sOCkhCZqZiyRpT0SQR6u3r/7qZzSzGxrVWV8AQgJiw7V9I2Rrcs&#10;isBboVm4sk4YOGvrNYtY+qaoPOuArlUxGY3mRWd95bzlIgTsbnonHRD9WwBtXUsuNpYftDCxR/VC&#10;sYiSQitdoKt827oWPD7UdRCRqJKi0pi/SAJ7n77F6oYtG89cK/lwBfaWK7yqSTNpkPQFasMiIwcv&#10;/4LSknsbbB2vuNVFX0hmBFWMR6+4eWyZE7kWUB3cC+nh/8Hyr8edJ7Iq6QSUGKbR8W9gjZlGCYI9&#10;ENS5sETco9v5YRVgpmpPtdfpH3WQUyb16YVUcYqEY3M2Hc9nM4Bz+KbX88VilFGL83HnQ/wsrCbJ&#10;KKlH/kwmO96HiJQIfQ5J2YzdSqVy55QhXUnn1xmfQY01VIBU2qGiYBpKmGogcx59RgxWySqdTjjB&#10;N/s75cmRQRyT7Wyy2PZBLatEvzsb4Zc4wBWG8N6+xEl327DQ9kdyil5XWkaMipK6pCj6jKQMQBKr&#10;PY/J2tvqCY3wtldocHwrAXvPQtwxD0mCQAxtfMCnVhZF28GipLX+97/2UzyUAi8lHSQORn4dmBeU&#10;qC8GGvo0nk4BG/NiOvuYFOAvPftLjznoOwuixngeHM9mio/q2ay91T8x2+uUFS5mOHL33A+Lu9iP&#10;Hl4HLtbrHIY5cCzem0fHE3jf4PUh2lrm3p/ZGUjDJOQeDFObRu1ynaPOL9X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0RdZrVAAAABwEAAA8AAAAAAAAAAQAgAAAAIgAAAGRycy9kb3ducmV2Lnht&#10;bFBLAQIUABQAAAAIAIdO4kA3VzlYbgIAAPEEAAAOAAAAAAAAAAEAIAAAACQBAABkcnMvZTJvRG9j&#10;LnhtbFBLBQYAAAAABgAGAFkBAAAEBgAAAAA=&#10;">
                <v:fill on="f" focussize="0,0"/>
                <v:stroke weight="0.5pt" color="#2F528F [3204]" miterlimit="8" joinstyle="miter"/>
                <v:imagedata o:title=""/>
                <o:lock v:ext="edit" aspectratio="f"/>
              </v:rect>
            </w:pict>
          </mc:Fallback>
        </mc:AlternateContent>
      </w:r>
    </w:p>
    <w:p>
      <w:pPr>
        <w:jc w:val="center"/>
        <w:rPr>
          <w:rFonts w:ascii="宋体" w:hAnsi="宋体" w:eastAsia="宋体"/>
          <w:b/>
          <w:bCs/>
          <w:sz w:val="24"/>
          <w:szCs w:val="24"/>
        </w:rPr>
      </w:pPr>
      <w:r>
        <w:rPr>
          <w:rFonts w:hint="eastAsia" w:ascii="宋体" w:hAnsi="宋体" w:eastAsia="宋体"/>
          <w:b/>
          <w:bCs/>
          <w:sz w:val="24"/>
          <w:szCs w:val="24"/>
        </w:rPr>
        <w:t>虚构销售交易</w:t>
      </w:r>
    </w:p>
    <w:p>
      <w:pPr>
        <w:spacing w:line="360" w:lineRule="auto"/>
        <w:rPr>
          <w:rFonts w:ascii="宋体" w:hAnsi="宋体" w:eastAsia="宋体"/>
          <w:sz w:val="24"/>
          <w:szCs w:val="24"/>
        </w:rPr>
      </w:pPr>
    </w:p>
    <w:p>
      <w:pPr>
        <w:pStyle w:val="18"/>
        <w:rPr>
          <w:rFonts w:ascii="宋体" w:hAnsi="宋体" w:eastAsia="宋体"/>
          <w:sz w:val="24"/>
          <w:szCs w:val="24"/>
        </w:rPr>
      </w:pPr>
      <w:r>
        <w:rPr>
          <w:rFonts w:hint="eastAsia" w:ascii="宋体" w:hAnsi="宋体" w:eastAsia="宋体"/>
          <w:sz w:val="24"/>
          <w:szCs w:val="24"/>
        </w:rPr>
        <w:t>冒用客户与供应商名义虚构交易</w:t>
      </w:r>
    </w:p>
    <w:p>
      <w:pPr>
        <w:pStyle w:val="18"/>
        <w:rPr>
          <w:rFonts w:ascii="宋体" w:hAnsi="宋体" w:eastAsia="宋体"/>
          <w:sz w:val="24"/>
          <w:szCs w:val="24"/>
        </w:rPr>
      </w:pPr>
      <w:r>
        <w:rPr>
          <w:rFonts w:hint="eastAsia" w:ascii="宋体" w:hAnsi="宋体" w:eastAsia="宋体"/>
          <w:sz w:val="24"/>
          <w:szCs w:val="24"/>
        </w:rPr>
        <w:t>利用未如实披露的关联方虚构交易</w:t>
      </w:r>
    </w:p>
    <w:p>
      <w:pPr>
        <w:pStyle w:val="18"/>
        <w:rPr>
          <w:rFonts w:ascii="宋体" w:hAnsi="宋体" w:eastAsia="宋体"/>
          <w:sz w:val="24"/>
          <w:szCs w:val="24"/>
        </w:rPr>
      </w:pPr>
      <w:r>
        <w:rPr>
          <w:rFonts w:hint="eastAsia" w:ascii="宋体" w:hAnsi="宋体" w:eastAsia="宋体"/>
          <w:sz w:val="24"/>
          <w:szCs w:val="24"/>
        </w:rPr>
        <w:t>无</w:t>
      </w:r>
      <w:r>
        <w:rPr>
          <w:rFonts w:ascii="宋体" w:hAnsi="宋体" w:eastAsia="宋体"/>
          <w:sz w:val="24"/>
          <w:szCs w:val="24"/>
        </w:rPr>
        <w:t>资金流</w:t>
      </w:r>
    </w:p>
    <w:p>
      <w:pPr>
        <w:pStyle w:val="18"/>
        <w:rPr>
          <w:rFonts w:ascii="宋体" w:hAnsi="宋体" w:eastAsia="宋体"/>
          <w:sz w:val="24"/>
          <w:szCs w:val="24"/>
        </w:rPr>
      </w:pPr>
      <w:r>
        <w:rPr>
          <w:rFonts w:hint="eastAsia" w:ascii="宋体" w:hAnsi="宋体" w:eastAsia="宋体"/>
          <w:sz w:val="24"/>
          <w:szCs w:val="24"/>
        </w:rPr>
        <w:t>无货物流</w:t>
      </w:r>
    </w:p>
    <w:p>
      <w:pPr>
        <w:pStyle w:val="18"/>
        <w:rPr>
          <w:rFonts w:ascii="宋体" w:hAnsi="宋体" w:eastAsia="宋体"/>
          <w:sz w:val="24"/>
          <w:szCs w:val="24"/>
        </w:rPr>
      </w:pPr>
      <w:r>
        <w:rPr>
          <w:rFonts w:hint="eastAsia" w:ascii="宋体" w:hAnsi="宋体" w:eastAsia="宋体"/>
          <w:sz w:val="24"/>
          <w:szCs w:val="24"/>
        </w:rPr>
        <w:t>虚构全链条单据</w:t>
      </w:r>
      <w:r>
        <w:rPr>
          <w:rFonts w:ascii="宋体" w:hAnsi="宋体" w:eastAsia="宋体"/>
          <w:sz w:val="24"/>
          <w:szCs w:val="24"/>
        </w:rPr>
        <w:t>流</w: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702272" behindDoc="0" locked="0" layoutInCell="1" allowOverlap="1">
                <wp:simplePos x="0" y="0"/>
                <wp:positionH relativeFrom="margin">
                  <wp:posOffset>2286000</wp:posOffset>
                </wp:positionH>
                <wp:positionV relativeFrom="paragraph">
                  <wp:posOffset>99060</wp:posOffset>
                </wp:positionV>
                <wp:extent cx="2482850" cy="298450"/>
                <wp:effectExtent l="0" t="0" r="0" b="0"/>
                <wp:wrapNone/>
                <wp:docPr id="11" name="Rectangle 11"/>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虚构购销交易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180pt;margin-top:7.8pt;height:23.5pt;width:195.5pt;mso-position-horizontal-relative:margin;z-index:251702272;v-text-anchor:middle;mso-width-relative:page;mso-height-relative:page;" filled="f" stroked="f" coordsize="21600,21600" o:gfxdata="UEsDBAoAAAAAAIdO4kAAAAAAAAAAAAAAAAAEAAAAZHJzL1BLAwQUAAAACACHTuJA1j2VjdcAAAAJ&#10;AQAADwAAAGRycy9kb3ducmV2LnhtbE2PwU7DMBBE70j8g7VI3KidopoqxKkEEkKoB0QLd8d2k4h4&#10;HdlO0v49ywmOOzOafVPtzn5gs4upD6igWAlgDk2wPbYKPo8vd1tgKWu0egjoFFxcgl19fVXp0oYF&#10;P9x8yC2jEkylVtDlPJacJ9M5r9MqjA7JO4XodaYzttxGvVC5H/haCMm97pE+dHp0z50z34fJK/gK&#10;p6fFmwbf5st7P73uozHbvVK3N4V4BJbdOf+F4Ref0KEmpiZMaBMbFNxLQVsyGRsJjAIPm4KERoFc&#10;S+B1xf8vqH8AUEsDBBQAAAAIAIdO4kAr+8jgUwIAALIEAAAOAAAAZHJzL2Uyb0RvYy54bWytVE1v&#10;2zAMvQ/YfxB0X50Y6ZoGdYqgQYcBxVo0G3ZWZCkWoK9JSpzu1+9Jdtug26GH5eCQIv1IPj366vpo&#10;NDmIEJWzDZ2eTSgRlrtW2V1Df3y//TSnJCZmW6adFQ19EpFeLz9+uOr9QtSuc7oVgQDExkXvG9ql&#10;5BdVFXknDItnzguLoHTBsAQ37Ko2sB7oRlf1ZPK56l1ofXBcxIjT9RCkI2J4D6CTUnGxdnxvhE0D&#10;ahCaJYwUO+UjXZZupRQ83UsZRSK6oZg0lSeKwN7mZ7W8YotdYL5TfGyBvaeFNzMZpiyKvkCtWWJk&#10;H9RfUEbx4KKT6Yw7Uw2DFEYwxXTyhptNx7wos4Dq6F9Ij/8Pln87PASiWihhSollBjf+CNaY3WlB&#10;cAaCeh8XyNv4hzB6EWae9iiDyf+YgxwLqU8vpIpjIhyH9Wxez8/BN0esvpzPYAOmen3bh5i+CGdI&#10;NhoaUL5wyQ53MQ2pzym5mHW3Smucs4W2pEfn9cUk4zOoUUIFMI3HRNHuKGF6B5nzFArkybsZcs1i&#10;Rw4M2ohOq3ZQg1EJAtfKNHQ+yb+xXW3RdeZimD5b6bg9jpRsXfsEJoMbJBY9v1WocMdiemABmkKH&#10;2Lp0j4fUDm270aKkc+H3v85zPq4aUUp6aBRt/tqzICjRXy1EcDmdzQCbijM7v6jhhNPI9jRi9+bG&#10;YVTcM7orZs5P+tmUwZmfWM5VrooQsxy1B/JG5yYNu4P15mK1KmkQsmfpzm48z+DDFa32yUlVbi8T&#10;NbAz8gcpl/sf1y7vyqlfsl4/N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1j2VjdcAAAAJAQAA&#10;DwAAAAAAAAABACAAAAAiAAAAZHJzL2Rvd25yZXYueG1sUEsBAhQAFAAAAAgAh07iQCv7yOBTAgAA&#10;sgQAAA4AAAAAAAAAAQAgAAAAJgEAAGRycy9lMm9Eb2MueG1sUEsFBgAAAAAGAAYAWQEAAOsFAAAA&#10;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虚构购销交易</w:t>
                      </w:r>
                    </w:p>
                  </w:txbxContent>
                </v:textbox>
              </v:rect>
            </w:pict>
          </mc:Fallback>
        </mc:AlternateContent>
      </w:r>
      <w:r>
        <w:rPr>
          <w:rFonts w:hint="eastAsia"/>
        </w:rPr>
        <mc:AlternateContent>
          <mc:Choice Requires="wps">
            <w:drawing>
              <wp:anchor distT="0" distB="0" distL="114300" distR="114300" simplePos="0" relativeHeight="251701248" behindDoc="0" locked="0" layoutInCell="1" allowOverlap="1">
                <wp:simplePos x="0" y="0"/>
                <wp:positionH relativeFrom="margin">
                  <wp:posOffset>457200</wp:posOffset>
                </wp:positionH>
                <wp:positionV relativeFrom="paragraph">
                  <wp:posOffset>98425</wp:posOffset>
                </wp:positionV>
                <wp:extent cx="2482850" cy="298450"/>
                <wp:effectExtent l="0" t="0" r="0" b="0"/>
                <wp:wrapNone/>
                <wp:docPr id="10" name="Rectangle 10"/>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虚构购销交易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6" o:spt="1" style="position:absolute;left:0pt;margin-left:36pt;margin-top:7.75pt;height:23.5pt;width:195.5pt;mso-position-horizontal-relative:margin;z-index:251701248;v-text-anchor:middle;mso-width-relative:page;mso-height-relative:page;" filled="f" stroked="f" coordsize="21600,21600" o:gfxdata="UEsDBAoAAAAAAIdO4kAAAAAAAAAAAAAAAAAEAAAAZHJzL1BLAwQUAAAACACHTuJALVvPzNYAAAAI&#10;AQAADwAAAGRycy9kb3ducmV2LnhtbE2PwU7DMBBE70j8g7VI3KjTQNIqxKkEEkKoB0Shd8fZJhHx&#10;OrKdpP17lhMcd2Y0+6bcne0gZvShd6RgvUpAIBnX9NQq+Pp8uduCCFFTowdHqOCCAXbV9VWpi8Yt&#10;9IHzIbaCSygUWkEX41hIGUyHVoeVG5HYOzlvdeTTt7LxeuFyO8g0SXJpdU/8odMjPndovg+TVXB0&#10;p6fFmpre5st7P73uvTHbvVK3N+vkEUTEc/wLwy8+o0PFTLWbqAliULBJeUpkPctAsP+Q37NQK8jT&#10;DGRVyv8Dqh9QSwMEFAAAAAgAh07iQP/WidBTAgAAsgQAAA4AAABkcnMvZTJvRG9jLnhtbK1UTW/b&#10;MAy9D9h/EHRfnRjpmgZ1iqBBhwHFWjQbdlZkKRagr0lKnO7X70l226DboYfl4JAi/Ug+Pfrq+mg0&#10;OYgQlbMNnZ5NKBGWu1bZXUN/fL/9NKckJmZbpp0VDX0SkV4vP3646v1C1K5zuhWBAMTGRe8b2qXk&#10;F1UVeScMi2fOC4ugdMGwBDfsqjawHuhGV/Vk8rnqXWh9cFzEiNP1EKQjYngPoJNScbF2fG+ETQNq&#10;EJoljBQ75SNdlm6lFDzdSxlFIrqhmDSVJ4rA3uZntbxii11gvlN8bIG9p4U3MxmmLIq+QK1ZYmQf&#10;1F9QRvHgopPpjDtTDYMURjDFdPKGm03HvCizgOroX0iP/w+Wfzs8BKJaKAGUWGZw449gjdmdFgRn&#10;IKj3cYG8jX8Ioxdh5mmPMpj8jznIsZD69EKqOCbCcVjP5vX8HOAcsfpyPoMNmOr1bR9i+iKcIdlo&#10;aED5wiU73MU0pD6n5GLW3Sqtcc4W2pIendcXk4zPoEYJFcA0HhNFu6OE6R1kzlMokCfvZsg1ix05&#10;MGgjOq3aQQ1GJQhcK9PQ+ST/xna1RdeZi2H6bKXj9jhSsnXtE5gMbpBY9PxWocIdi+mBBWgKHWLr&#10;0j0eUju07UaLks6F3/86z/m4akQp6aFRtPlrz4KgRH+1EMHldDYDbCrO7PyihhNOI9vTiN2bG4dR&#10;p9hvz4uZ85N+NmVw5ieWc5WrIsQsR+2BvNG5ScPuYL25WK1KGoTsWbqzG88z+HBFq31yUpXby0QN&#10;7Iz8Qcrl/se1y7ty6pes10/N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tW8/M1gAAAAgBAAAP&#10;AAAAAAAAAAEAIAAAACIAAABkcnMvZG93bnJldi54bWxQSwECFAAUAAAACACHTuJA/9aJ0FMCAACy&#10;BAAADgAAAAAAAAABACAAAAAlAQAAZHJzL2Uyb0RvYy54bWxQSwUGAAAAAAYABgBZAQAA6gUA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虚构购销交易</w:t>
                      </w:r>
                    </w:p>
                  </w:txbxContent>
                </v:textbox>
              </v:rect>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4000500</wp:posOffset>
                </wp:positionH>
                <wp:positionV relativeFrom="paragraph">
                  <wp:posOffset>250190</wp:posOffset>
                </wp:positionV>
                <wp:extent cx="1187450" cy="539750"/>
                <wp:effectExtent l="0" t="0" r="12700" b="12700"/>
                <wp:wrapNone/>
                <wp:docPr id="25" name="流程图: 可选过程 13"/>
                <wp:cNvGraphicFramePr/>
                <a:graphic xmlns:a="http://schemas.openxmlformats.org/drawingml/2006/main">
                  <a:graphicData uri="http://schemas.microsoft.com/office/word/2010/wordprocessingShape">
                    <wps:wsp>
                      <wps:cNvSpPr/>
                      <wps:spPr>
                        <a:xfrm>
                          <a:off x="0" y="0"/>
                          <a:ext cx="1187450" cy="5397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b/>
                                <w:bCs/>
                                <w:sz w:val="24"/>
                                <w:szCs w:val="24"/>
                              </w:rPr>
                            </w:pPr>
                            <w:r>
                              <w:rPr>
                                <w:rFonts w:hint="eastAsia" w:ascii="宋体" w:hAnsi="宋体" w:eastAsia="宋体"/>
                                <w:b/>
                                <w:bCs/>
                                <w:sz w:val="24"/>
                                <w:szCs w:val="24"/>
                              </w:rPr>
                              <w:t>被冒用的</w:t>
                            </w:r>
                          </w:p>
                          <w:p>
                            <w:pPr>
                              <w:jc w:val="center"/>
                              <w:rPr>
                                <w:rFonts w:ascii="宋体" w:hAnsi="宋体" w:eastAsia="宋体"/>
                                <w:b/>
                                <w:bCs/>
                                <w:sz w:val="24"/>
                                <w:szCs w:val="24"/>
                              </w:rPr>
                            </w:pPr>
                            <w:r>
                              <w:rPr>
                                <w:rFonts w:hint="eastAsia" w:ascii="宋体" w:hAnsi="宋体" w:eastAsia="宋体"/>
                                <w:b/>
                                <w:bCs/>
                                <w:sz w:val="24"/>
                                <w:szCs w:val="24"/>
                              </w:rPr>
                              <w:t>第三方客户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left:315pt;margin-top:19.7pt;height:42.5pt;width:93.5pt;z-index:251692032;v-text-anchor:middle;mso-width-relative:page;mso-height-relative:page;" fillcolor="#4472C4 [3204]" filled="t" stroked="t" coordsize="21600,21600" o:gfxdata="UEsDBAoAAAAAAIdO4kAAAAAAAAAAAAAAAAAEAAAAZHJzL1BLAwQUAAAACACHTuJAUNaSc9kAAAAK&#10;AQAADwAAAGRycy9kb3ducmV2LnhtbE2PTU/DMAyG70j8h8hI3FjSrhqjNJ3EpIkDXDaQpt28JrSF&#10;xClN9vXvMSc42n70+nmrxdk7cbRj7ANpyCYKhKUmmJ5aDe9vq7s5iJiQDLpAVsPFRljU11cVliac&#10;aG2Pm9QKDqFYooYupaGUMjad9RgnYbDEt48wekw8jq00I5443DuZKzWTHnviDx0OdtnZ5mtz8Brw&#10;8mS+3Ut8Xr+udnmbPrfLFEnr25tMPYJI9pz+YPjVZ3Wo2WkfDmSicBpmU8VdkobpQwGCgXl2z4s9&#10;k3lRgKwr+b9C/QNQSwMEFAAAAAgAh07iQDGlSE+zAgAASAUAAA4AAABkcnMvZTJvRG9jLnhtbK1U&#10;zW4TMRC+I/EOlu90s9uEpKtuqihREFJFIwXE2fF6s5b8h+1kU05wQogDD8ALcOPEFZ6m/LwFY++m&#10;TQuHHshhM+OZ+cbzzYxPz3ZSoC2zjmtV4PSohxFTVJdcrQv84vn80Qgj54kqidCKFfiSOXw2fvjg&#10;tDE5y3StRcksAhDl8sYUuPbe5EniaM0kcUfaMAXGSltJPKh2nZSWNIAuRZL1eo+TRtvSWE2Zc3A6&#10;a424Q7T3AdRVxSmbabqRTPkW1TJBPJTkam4cHsfbVhWj/qKqHPNIFBgq9fELSUBehW8yPiX52hJT&#10;c9pdgdznCndqkoQrSHoNNSOeoI3lf0FJTq12uvJHVMukLSQyAlWkvTvcLGtiWKwFqHbmmnT3/2Dp&#10;s+3CIl4WOBtgpIiEjv/4+vbn5w9Xn77l6Orjl99v3v/6/g4OUHoc6GqMyyFqaRa20xyIofZdZWX4&#10;h6rQLlJ8eU0x23lE4TBNR8P+ANinYBscnwxBBpjkJtpY558wLVEQClwJ3UxrYv1EeGYV8WzRzk6k&#10;m2zPnW/j93HhBk4LXs65EFGx69VUWLQlMAP9/jCb9ruUt9yEQg3cLxv2wu0ITHYFEwWiNMCOU2uM&#10;iFjDylBvY+5b0e4wSTYfZKN561STkrWpBz347TO37rHwWzihihlxdRsSTSGE5JJD+UhwWeBRANoj&#10;CQUgoSdtF4Lkd6td15qVLi+hv1a3g+8MnXPIcE6cXxALkw61wlvgL+ATmC6w7iSMam1f/+s8+MMA&#10;ghWjBjYHyHm1IZZhJJ4qGM2TtN8HWB+V/mCYgWIPLatDi9rIqYbGpPDqGBrF4O/FXqysli/hyZiE&#10;rGAiikLutg2dMvXtRsOjQ9lkEt1gvQzx52ppaAAPFCo92Xhd8TgwgaiWnY4/WLDYju4xCBt8qEev&#10;mwdw/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Q1pJz2QAAAAoBAAAPAAAAAAAAAAEAIAAAACIA&#10;AABkcnMvZG93bnJldi54bWxQSwECFAAUAAAACACHTuJAMaVIT7MCAABIBQAADgAAAAAAAAABACAA&#10;AAAoAQAAZHJzL2Uyb0RvYy54bWxQSwUGAAAAAAYABgBZAQAATQYAAAAA&#10;">
                <v:fill on="t" focussize="0,0"/>
                <v:stroke weight="1pt" color="#2F528F [3204]" miterlimit="8" joinstyle="miter"/>
                <v:imagedata o:title=""/>
                <o:lock v:ext="edit" aspectratio="f"/>
                <v:textbox>
                  <w:txbxContent>
                    <w:p>
                      <w:pPr>
                        <w:jc w:val="center"/>
                        <w:rPr>
                          <w:rFonts w:ascii="宋体" w:hAnsi="宋体" w:eastAsia="宋体"/>
                          <w:b/>
                          <w:bCs/>
                          <w:sz w:val="24"/>
                          <w:szCs w:val="24"/>
                        </w:rPr>
                      </w:pPr>
                      <w:r>
                        <w:rPr>
                          <w:rFonts w:hint="eastAsia" w:ascii="宋体" w:hAnsi="宋体" w:eastAsia="宋体"/>
                          <w:b/>
                          <w:bCs/>
                          <w:sz w:val="24"/>
                          <w:szCs w:val="24"/>
                        </w:rPr>
                        <w:t>被冒用的</w:t>
                      </w:r>
                    </w:p>
                    <w:p>
                      <w:pPr>
                        <w:jc w:val="center"/>
                        <w:rPr>
                          <w:rFonts w:ascii="宋体" w:hAnsi="宋体" w:eastAsia="宋体"/>
                          <w:b/>
                          <w:bCs/>
                          <w:sz w:val="24"/>
                          <w:szCs w:val="24"/>
                        </w:rPr>
                      </w:pPr>
                      <w:r>
                        <w:rPr>
                          <w:rFonts w:hint="eastAsia" w:ascii="宋体" w:hAnsi="宋体" w:eastAsia="宋体"/>
                          <w:b/>
                          <w:bCs/>
                          <w:sz w:val="24"/>
                          <w:szCs w:val="24"/>
                        </w:rPr>
                        <w:t>第三方客户</w:t>
                      </w:r>
                    </w:p>
                  </w:txbxContent>
                </v:textbox>
              </v:shap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252730</wp:posOffset>
                </wp:positionV>
                <wp:extent cx="1188085" cy="539750"/>
                <wp:effectExtent l="0" t="0" r="12700" b="12700"/>
                <wp:wrapNone/>
                <wp:docPr id="26" name="流程图: 可选过程 13"/>
                <wp:cNvGraphicFramePr/>
                <a:graphic xmlns:a="http://schemas.openxmlformats.org/drawingml/2006/main">
                  <a:graphicData uri="http://schemas.microsoft.com/office/word/2010/wordprocessingShape">
                    <wps:wsp>
                      <wps:cNvSpPr/>
                      <wps:spPr>
                        <a:xfrm>
                          <a:off x="0" y="0"/>
                          <a:ext cx="1188000" cy="540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b/>
                                <w:bCs/>
                                <w:sz w:val="24"/>
                                <w:szCs w:val="24"/>
                              </w:rPr>
                            </w:pPr>
                            <w:r>
                              <w:rPr>
                                <w:rFonts w:hint="eastAsia" w:ascii="宋体" w:hAnsi="宋体" w:eastAsia="宋体"/>
                                <w:b/>
                                <w:bCs/>
                                <w:sz w:val="24"/>
                                <w:szCs w:val="24"/>
                              </w:rPr>
                              <w:t>被冒用的</w:t>
                            </w:r>
                          </w:p>
                          <w:p>
                            <w:pPr>
                              <w:jc w:val="center"/>
                              <w:rPr>
                                <w:rFonts w:ascii="宋体" w:hAnsi="宋体" w:eastAsia="宋体"/>
                                <w:b/>
                                <w:bCs/>
                                <w:sz w:val="24"/>
                                <w:szCs w:val="24"/>
                              </w:rPr>
                            </w:pPr>
                            <w:r>
                              <w:rPr>
                                <w:rFonts w:hint="eastAsia" w:ascii="宋体" w:hAnsi="宋体" w:eastAsia="宋体"/>
                                <w:b/>
                                <w:bCs/>
                                <w:sz w:val="24"/>
                                <w:szCs w:val="24"/>
                              </w:rPr>
                              <w:t>第三方供应商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top:19.9pt;height:42.5pt;width:93.55pt;mso-position-horizontal:left;mso-position-horizontal-relative:margin;z-index:251689984;v-text-anchor:middle;mso-width-relative:page;mso-height-relative:page;" fillcolor="#4472C4 [3204]" filled="t" stroked="t" coordsize="21600,21600" o:gfxdata="UEsDBAoAAAAAAIdO4kAAAAAAAAAAAAAAAAAEAAAAZHJzL1BLAwQUAAAACACHTuJALuFyS9YAAAAH&#10;AQAADwAAAGRycy9kb3ducmV2LnhtbE2PzU7DMBCE70i8g7VI3KiTgCCEOJWoVHGASwsS4raNTRKw&#10;1yHe/r092xPcdjSjmW/r+SF4tXNTGiIZyGcZKEdttAN1Bt5el1clqMRIFn0kZ+DoEsyb87MaKxv3&#10;tHK7NXdKSihVaKBnHiutU9u7gGkWR0fifcYpIIucOm0n3Et58LrIslsdcCBZ6HF0i9613+ttMIDH&#10;R/vjn9PT6mX5UXT89b7gRMZcXuTZAyh2B/4Lwwlf0KERpk3ckk3KG5BH2MD1vfCf3PIuB7WRo7gp&#10;QTe1/s/f/AJQSwMEFAAAAAgAh07iQLq51BWtAgAASAUAAA4AAABkcnMvZTJvRG9jLnhtbK1Uy24T&#10;MRTdI/EPlvdkMsOkDVEnVZQoCKmikQpi7Xg8GUt+YTuZhBWsEGLBB/AD7Fixha8pj7/g2jNN05ZF&#10;F2xm7vV9n/s4Od1KgTbMOq5VgdNeHyOmqC65WhX45Yv5oyFGzhNVEqEVK/COOXw6fvjgpDEjlula&#10;i5JZBE6UGzWmwLX3ZpQkjtZMEtfThikQVtpK4oG1q6S0pAHvUiRZv3+UNNqWxmrKnIPXWSvEnUd7&#10;H4e6qjhlM03XkinferVMEA8luZobh8cx26pi1J9XlWMeiQJDpT5+IQjQy/BNxidktLLE1Jx2KZD7&#10;pHCrJkm4gqB7VzPiCVpbfseV5NRqpyvfo1ombSEREagi7d/C5qImhsVaAGpn9qC7/+eWPt8sLOJl&#10;gbMjjBSR0PGf3979+vLx8vP3Ebr89PXP2w+/f7yHB5Q+DnA1xo3A6sIsbMc5IEPt28rK8Ieq0DZC&#10;vNtDzLYeUXhM0+Gw3wf0KcgGOZCxB8m1tbHOP2VaokAUuBK6mdbE+onwzCri2aKdnQg32Zw5D2mA&#10;/ZVdyMBpwcs5FyIydrWcCos2BGYgz4+zaR7qAJMbakKhBvLLjmN2BCa7gomCRKUBdJxaYUTEClaG&#10;ehtj37B2h0Gy+SAbzlulmpSsDT04KLZTv5tFqGJGXN2axBDtjEoO5SPBZYEDgHvYhAInoSdtFwLl&#10;t8tt15qlLnfQX6vbwXeGzjlEOCPOL4iFSYdOwC3w5/AJSBdYdxRGtbZv/vUe9GEAQYpRA5sD4Lxe&#10;E8swEs8UjOaTNM/DqkUmHxxnwNhDyfJQotZyqqExKVwdQyMZ9L24Iiur5Ss4GZMQFUREUYjdtqFj&#10;pr7daDg6lE0mUQ3WyxB/pi4MDc7DICg9WXtd8TgwAagWnQ4/WLDYju4YhA0+5KPW9QEc/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u4XJL1gAAAAcBAAAPAAAAAAAAAAEAIAAAACIAAABkcnMvZG93&#10;bnJldi54bWxQSwECFAAUAAAACACHTuJAurnUFa0CAABIBQAADgAAAAAAAAABACAAAAAlAQAAZHJz&#10;L2Uyb0RvYy54bWxQSwUGAAAAAAYABgBZAQAARAYAAAAA&#10;">
                <v:fill on="t" focussize="0,0"/>
                <v:stroke weight="1pt" color="#2F528F [3204]" miterlimit="8" joinstyle="miter"/>
                <v:imagedata o:title=""/>
                <o:lock v:ext="edit" aspectratio="f"/>
                <v:textbox>
                  <w:txbxContent>
                    <w:p>
                      <w:pPr>
                        <w:jc w:val="center"/>
                        <w:rPr>
                          <w:rFonts w:ascii="宋体" w:hAnsi="宋体" w:eastAsia="宋体"/>
                          <w:b/>
                          <w:bCs/>
                          <w:sz w:val="24"/>
                          <w:szCs w:val="24"/>
                        </w:rPr>
                      </w:pPr>
                      <w:r>
                        <w:rPr>
                          <w:rFonts w:hint="eastAsia" w:ascii="宋体" w:hAnsi="宋体" w:eastAsia="宋体"/>
                          <w:b/>
                          <w:bCs/>
                          <w:sz w:val="24"/>
                          <w:szCs w:val="24"/>
                        </w:rPr>
                        <w:t>被冒用的</w:t>
                      </w:r>
                    </w:p>
                    <w:p>
                      <w:pPr>
                        <w:jc w:val="center"/>
                        <w:rPr>
                          <w:rFonts w:ascii="宋体" w:hAnsi="宋体" w:eastAsia="宋体"/>
                          <w:b/>
                          <w:bCs/>
                          <w:sz w:val="24"/>
                          <w:szCs w:val="24"/>
                        </w:rPr>
                      </w:pPr>
                      <w:r>
                        <w:rPr>
                          <w:rFonts w:hint="eastAsia" w:ascii="宋体" w:hAnsi="宋体" w:eastAsia="宋体"/>
                          <w:b/>
                          <w:bCs/>
                          <w:sz w:val="24"/>
                          <w:szCs w:val="24"/>
                        </w:rPr>
                        <w:t>第三方供应商</w:t>
                      </w:r>
                    </w:p>
                  </w:txbxContent>
                </v:textbox>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97152" behindDoc="0" locked="0" layoutInCell="1" allowOverlap="1">
                <wp:simplePos x="0" y="0"/>
                <wp:positionH relativeFrom="column">
                  <wp:posOffset>3136900</wp:posOffset>
                </wp:positionH>
                <wp:positionV relativeFrom="paragraph">
                  <wp:posOffset>202565</wp:posOffset>
                </wp:positionV>
                <wp:extent cx="791845" cy="0"/>
                <wp:effectExtent l="38100" t="76200" r="27305" b="95250"/>
                <wp:wrapNone/>
                <wp:docPr id="7" name="Straight Arrow Connector 7"/>
                <wp:cNvGraphicFramePr/>
                <a:graphic xmlns:a="http://schemas.openxmlformats.org/drawingml/2006/main">
                  <a:graphicData uri="http://schemas.microsoft.com/office/word/2010/wordprocessingShape">
                    <wps:wsp>
                      <wps:cNvCnPr/>
                      <wps:spPr>
                        <a:xfrm>
                          <a:off x="0" y="0"/>
                          <a:ext cx="792000" cy="0"/>
                        </a:xfrm>
                        <a:prstGeom prst="straightConnector1">
                          <a:avLst/>
                        </a:prstGeom>
                        <a:ln w="12700">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o:spt="32" type="#_x0000_t32" style="position:absolute;left:0pt;margin-left:247pt;margin-top:15.95pt;height:0pt;width:62.35pt;z-index:251697152;mso-width-relative:page;mso-height-relative:page;" filled="f" stroked="t" coordsize="21600,21600" o:gfxdata="UEsDBAoAAAAAAIdO4kAAAAAAAAAAAAAAAAAEAAAAZHJzL1BLAwQUAAAACACHTuJAMJtA/tkAAAAJ&#10;AQAADwAAAGRycy9kb3ducmV2LnhtbE2PS2/CMBCE70j9D9Yi9QaOAaUkjYP6EIdKXKBF9GjiJYlq&#10;r6PY4fHv66qH9jg7o9lvitXVGnbG3reOJIhpAgypcrqlWsLH+3qyBOaDIq2MI5RwQw+r8m5UqFy7&#10;C23xvAs1iyXkcyWhCaHLOfdVg1b5qeuQondyvVUhyr7muleXWG4NnyVJyq1qKX5oVIcvDVZfu8FK&#10;yDbD52z+9HY7PDu/Nqnw+1e3kfJ+LJJHYAGv4S8MP/gRHcrIdHQDac+MhEW2iFuChLnIgMVAKpYP&#10;wI6/B14W/P+C8htQSwMEFAAAAAgAh07iQBCyZlf0AQAA/wMAAA4AAABkcnMvZTJvRG9jLnhtbK1T&#10;y27bMBC8F+g/ELzXsg2jTg3LQWE3vRStgaQfsKYoiQBf2GUs+++7pBwnTXvIIReJ5GpndkbD9e3J&#10;WXHUSCb4Ws4mUym0V6Exvqvl74e7TzdSUALfgA1e1/KsSd5uPn5YD3Gl56EPttEoGMTTaoi17FOK&#10;q6oi1WsHNAlRey62AR0k3mJXNQgDoztbzafTz9UQsIkYlCbi091YlBdEfAtgaFuj9C6oR6d9GlFR&#10;W0gsiXoTSW7KtG2rVfrVtqSTsLVkpak8mYTXh/ysNmtYdQixN+oyArxlhFeaHBjPpFeoHSQQj2j+&#10;gXJGYaDQpokKrhqFFEdYxWz6ypv7HqIuWthqilfT6f1g1c/jHoVparmUwoPjH36fEEzXJ/EVMQxi&#10;G7xnGwOKZXZriLTipq3f42VHcY9Z+qlFl98sSpyKw+erw/qUhOLD5ReOAHuvnkrVc19ESt91cCIv&#10;akmXMa78s2IwHH9QYmZufGrIpD7cGWvL37ReDBzs+bIQAUe05Wgwp4ssk3wnBdiOs68SFkgK1jS5&#10;PQMRdoetRXEETsxisZxvF1k20/31WebeAfXjdw2vxig5k/h2WONqecNKeYQyU6+h+eYbkc6RHU5o&#10;wHdWj7UExv6/xqTWM3f2fHQ5rw6hORfzyznnokx3yXAO3st96X6+t5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JtA/tkAAAAJAQAADwAAAAAAAAABACAAAAAiAAAAZHJzL2Rvd25yZXYueG1sUEsB&#10;AhQAFAAAAAgAh07iQBCyZlf0AQAA/wMAAA4AAAAAAAAAAQAgAAAAKAEAAGRycy9lMm9Eb2MueG1s&#10;UEsFBgAAAAAGAAYAWQEAAI4FAAAAAA==&#10;">
                <v:fill on="f" focussize="0,0"/>
                <v:stroke weight="1pt" color="#4472C4 [3204]" miterlimit="8" joinstyle="miter" dashstyle="dash" startarrow="block" endarrow="block"/>
                <v:imagedata o:title=""/>
                <o:lock v:ext="edit" aspectratio="f"/>
              </v:shap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2171700</wp:posOffset>
                </wp:positionH>
                <wp:positionV relativeFrom="paragraph">
                  <wp:posOffset>5080</wp:posOffset>
                </wp:positionV>
                <wp:extent cx="901700" cy="1115695"/>
                <wp:effectExtent l="0" t="0" r="12700" b="27305"/>
                <wp:wrapNone/>
                <wp:docPr id="27" name="流程图: 可选过程 13"/>
                <wp:cNvGraphicFramePr/>
                <a:graphic xmlns:a="http://schemas.openxmlformats.org/drawingml/2006/main">
                  <a:graphicData uri="http://schemas.microsoft.com/office/word/2010/wordprocessingShape">
                    <wps:wsp>
                      <wps:cNvSpPr/>
                      <wps:spPr>
                        <a:xfrm>
                          <a:off x="0" y="0"/>
                          <a:ext cx="901700" cy="1116000"/>
                        </a:xfrm>
                        <a:prstGeom prst="flowChartAlternateProces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r>
                              <w:rPr>
                                <w:rFonts w:hint="eastAsia" w:ascii="宋体" w:hAnsi="宋体" w:eastAsia="宋体"/>
                                <w:b/>
                                <w:bCs/>
                                <w:sz w:val="24"/>
                                <w:szCs w:val="24"/>
                              </w:rPr>
                              <w:t>蓝山科技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left:171pt;margin-top:0.4pt;height:87.85pt;width:71pt;z-index:251691008;v-text-anchor:middle;mso-width-relative:page;mso-height-relative:page;" fillcolor="#C55A11 [2405]" filled="t" stroked="t" coordsize="21600,21600" o:gfxdata="UEsDBAoAAAAAAIdO4kAAAAAAAAAAAAAAAAAEAAAAZHJzL1BLAwQUAAAACACHTuJAbM7/+tgAAAAI&#10;AQAADwAAAGRycy9kb3ducmV2LnhtbE2PMU/DMBSEdyT+g/WQ2KjdNLRViNMBiaWwtIAQmxu/Jmnj&#10;58h2m8Kv5zHBeLrT3Xfl6uJ6ccYQO08aphMFAqn2tqNGw9vr090SREyGrOk9oYYvjLCqrq9KU1g/&#10;0gbP29QILqFYGA1tSkMhZaxbdCZO/IDE3t4HZxLL0EgbzMjlrpeZUnPpTEe80JoBH1usj9uT06A2&#10;6+f3g18c1/vsYxZe7OFzdN9a395M1QOIhJf0F4ZffEaHipl2/kQ2il7DLM/4S9LAB9jOlznLHecW&#10;83uQVSn/H6h+AFBLAwQUAAAACACHTuJAmxwtwLsCAABqBQAADgAAAGRycy9lMm9Eb2MueG1srVTN&#10;bhMxEL4j8Q6W73R3Q9OkUTdVlCgIqdBIBXF2vN6sJf9hO9mUE5wQ4sAD8ALcOHGFpyk/b8HY3vQP&#10;kHrgsjvj8Xwz882Mj463UqANs45rVeJiL8eIKaorrlYlfv5s/mCIkfNEVURoxUp8zhw+Ht+/d9Sa&#10;EevpRouKWQQgyo1aU+LGezPKMkcbJonb04YpMNbaSuJBtaussqQFdCmyXp4fZK22lbGaMufgdJaM&#10;uEO0dwHUdc0pm2m6lkz5hGqZIB5Kcg03Do9jtnXNqD+ta8c8EiWGSn38QhCQl+GbjY/IaGWJaTjt&#10;UiB3SeFWTZJwBUEvoWbEE7S2/A8oyanVTtd+j2qZpUIiI1BFkd/i5qwhhsVagGpnLkl3/w+WPt0s&#10;LOJViXsDjBSR0PHvX978+PT+4uPXEbr48PnX63c/v72FA1Q8DHS1xo3A68wsbKc5EEPt29rK8Ieq&#10;0DZSfH5JMdt6ROHwMC8GOZBPwVQUxUEOCsBkV97GOv+IaYmCUOJa6HbaEOsnwjOriGeLNDuRbrI5&#10;cT757/xCBk4LXs25EFGxq+VUWLQhMAPTfn9SFNFXrOUTXaXjQf8qEZfux6RuAAmFWsi6lwogMPs1&#10;zBzUIg3w59QKIyJWsFTU2xjhhncHm+L15v3ecJ4uNaRi6TQksaPjn1mEOmfENcklhkhTLDkQhASX&#10;JR4GoB2SUFBK6FrqU5D8drntmrfU1TlMgNVpNZyhcw4RTojzC2JhF6BZ8Fr4U/iEXpRYdxJGjbav&#10;/nYe7sOIghWjFnYLyHm5JpZhJB4rGN7DYn8/LGNU9vuDHij2umV53aLWcqqhdQW8S4ZGMdz3YifW&#10;VssX8KhMQlQwEUUhdmpDp0x92nl4liibTOI1WEBD/Ik6MzSAh1FRerL2uuZxpAJRiZ2OP1jBOBTd&#10;cxF2/Loeb109ke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bM7/+tgAAAAIAQAADwAAAAAAAAAB&#10;ACAAAAAiAAAAZHJzL2Rvd25yZXYueG1sUEsBAhQAFAAAAAgAh07iQJscLcC7AgAAagUAAA4AAAAA&#10;AAAAAQAgAAAAJwEAAGRycy9lMm9Eb2MueG1sUEsFBgAAAAAGAAYAWQEAAFQGAAAAAA==&#10;">
                <v:fill on="t" focussize="0,0"/>
                <v:stroke weight="1pt" color="#2F528F [3204]" miterlimit="8" joinstyle="miter"/>
                <v:imagedata o:title=""/>
                <o:lock v:ext="edit" aspectratio="f"/>
                <v:textbox>
                  <w:txbxContent>
                    <w:p>
                      <w:pPr>
                        <w:jc w:val="center"/>
                        <w:rPr>
                          <w:b/>
                          <w:bCs/>
                        </w:rPr>
                      </w:pPr>
                      <w:r>
                        <w:rPr>
                          <w:rFonts w:hint="eastAsia" w:ascii="宋体" w:hAnsi="宋体" w:eastAsia="宋体"/>
                          <w:b/>
                          <w:bCs/>
                          <w:sz w:val="24"/>
                          <w:szCs w:val="24"/>
                        </w:rPr>
                        <w:t>蓝山科技</w:t>
                      </w:r>
                    </w:p>
                  </w:txbxContent>
                </v:textbox>
              </v:shape>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1257300</wp:posOffset>
                </wp:positionH>
                <wp:positionV relativeFrom="paragraph">
                  <wp:posOffset>198755</wp:posOffset>
                </wp:positionV>
                <wp:extent cx="791845" cy="0"/>
                <wp:effectExtent l="38100" t="76200" r="27305" b="95250"/>
                <wp:wrapNone/>
                <wp:docPr id="2" name="Straight Arrow Connector 2"/>
                <wp:cNvGraphicFramePr/>
                <a:graphic xmlns:a="http://schemas.openxmlformats.org/drawingml/2006/main">
                  <a:graphicData uri="http://schemas.microsoft.com/office/word/2010/wordprocessingShape">
                    <wps:wsp>
                      <wps:cNvCnPr/>
                      <wps:spPr>
                        <a:xfrm>
                          <a:off x="0" y="0"/>
                          <a:ext cx="792000" cy="0"/>
                        </a:xfrm>
                        <a:prstGeom prst="straightConnector1">
                          <a:avLst/>
                        </a:prstGeom>
                        <a:ln w="12700">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o:spt="32" type="#_x0000_t32" style="position:absolute;left:0pt;margin-left:99pt;margin-top:15.65pt;height:0pt;width:62.35pt;z-index:251695104;mso-width-relative:page;mso-height-relative:page;" filled="f" stroked="t" coordsize="21600,21600" o:gfxdata="UEsDBAoAAAAAAIdO4kAAAAAAAAAAAAAAAAAEAAAAZHJzL1BLAwQUAAAACACHTuJAc1KLjNgAAAAJ&#10;AQAADwAAAGRycy9kb3ducmV2LnhtbE2PS0/DMBCE70j9D9YicaPOQyptiFO1RT0g9UIBwdGNlyTC&#10;Xkex08e/ZxGHcpzZ0ew35fLsrDjiEDpPCtJpAgKp9qajRsHb6/Z+DiJETUZbT6jgggGW1eSm1IXx&#10;J3rB4z42gksoFFpBG2NfSBnqFp0OU98j8e3LD05HlkMjzaBPXO6szJJkJp3uiD+0usdNi/X3fnQK&#10;FrvxM8tXz5ePtQ9bO0vD+5PfKXV3myaPICKe4zUMv/iMDhUzHfxIJgjLejHnLVFBnuYgOJBn2QOI&#10;w58hq1L+X1D9AFBLAwQUAAAACACHTuJAV+DuQPQBAAD/AwAADgAAAGRycy9lMm9Eb2MueG1srVPL&#10;btswELwX6D8QvNeyBaNOjchBYTe9FK2BpB+wpiiJAF/YZSz777ukHKdNe8ihF4nkamd2RsPbu5Oz&#10;4qiRTPCNXMzmUmivQmt838ifj/cfbqSgBL4FG7xu5FmTvNu8f3c7xrWuwxBsq1EwiKf1GBs5pBTX&#10;VUVq0A5oFqL2XOwCOki8xb5qEUZGd7aq5/OP1RiwjRiUJuLT3VSUF0R8C2DoOqP0Lqgnp32aUFFb&#10;SCyJBhNJbsq0XadV+tF1pJOwjWSlqTyZhNeH/Kw2t7DuEeJg1GUEeMsIrzQ5MJ5Jr1A7SCCe0PwF&#10;5YzCQKFLMxVcNQkpjrCKxfyVNw8DRF20sNUUr6bT/4NV3497FKZtZC2FB8c//CEhmH5I4jNiGMU2&#10;eM82BhR1dmuMtOamrd/jZUdxj1n6qUOX3yxKnIrD56vD+pSE4sPVJ44Ae6+eS9VLX0RKX3VwIi8a&#10;SZcxrvyLYjAcv1FiZm58bsikPtwba8vftF6MHOx6VYiAI9pxNJjTRZZJvpcCbM/ZVwkLJAVr2tye&#10;gQj7w9aiOAInZrlc1dtlls10f3yWuXdAw/Rdy6spSs4kvh3WuEbesFIeocw0aGi/+Fakc2SHExrw&#10;vdVTLYGx/64xqfXMnT2fXM6rQ2jPxfxyzrko010ynIP3+750v9zb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UouM2AAAAAkBAAAPAAAAAAAAAAEAIAAAACIAAABkcnMvZG93bnJldi54bWxQSwEC&#10;FAAUAAAACACHTuJAV+DuQPQBAAD/AwAADgAAAAAAAAABACAAAAAnAQAAZHJzL2Uyb0RvYy54bWxQ&#10;SwUGAAAAAAYABgBZAQAAjQUAAAAA&#10;">
                <v:fill on="f" focussize="0,0"/>
                <v:stroke weight="1pt" color="#4472C4 [3204]" miterlimit="8" joinstyle="miter" dashstyle="dash" startarrow="block" endarrow="block"/>
                <v:imagedata o:title=""/>
                <o:lock v:ext="edit" aspectratio="f"/>
              </v:shape>
            </w:pict>
          </mc:Fallback>
        </mc:AlternateConten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98176" behindDoc="0" locked="0" layoutInCell="1" allowOverlap="1">
                <wp:simplePos x="0" y="0"/>
                <wp:positionH relativeFrom="column">
                  <wp:posOffset>3175000</wp:posOffset>
                </wp:positionH>
                <wp:positionV relativeFrom="paragraph">
                  <wp:posOffset>280670</wp:posOffset>
                </wp:positionV>
                <wp:extent cx="791845" cy="0"/>
                <wp:effectExtent l="38100" t="76200" r="27305" b="95250"/>
                <wp:wrapNone/>
                <wp:docPr id="8" name="Straight Arrow Connector 8"/>
                <wp:cNvGraphicFramePr/>
                <a:graphic xmlns:a="http://schemas.openxmlformats.org/drawingml/2006/main">
                  <a:graphicData uri="http://schemas.microsoft.com/office/word/2010/wordprocessingShape">
                    <wps:wsp>
                      <wps:cNvCnPr/>
                      <wps:spPr>
                        <a:xfrm>
                          <a:off x="0" y="0"/>
                          <a:ext cx="792000" cy="0"/>
                        </a:xfrm>
                        <a:prstGeom prst="straightConnector1">
                          <a:avLst/>
                        </a:prstGeom>
                        <a:ln w="12700">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o:spt="32" type="#_x0000_t32" style="position:absolute;left:0pt;margin-left:250pt;margin-top:22.1pt;height:0pt;width:62.35pt;z-index:251698176;mso-width-relative:page;mso-height-relative:page;" filled="f" stroked="t" coordsize="21600,21600" o:gfxdata="UEsDBAoAAAAAAIdO4kAAAAAAAAAAAAAAAAAEAAAAZHJzL1BLAwQUAAAACACHTuJA6LzE6dkAAAAJ&#10;AQAADwAAAGRycy9kb3ducmV2LnhtbE2PS0/DMBCE70j9D9ZW4kbthJBCiFPxUA9IvVCK4OjG2ySq&#10;vY5ip49/jysOcJyd0ew35eJkDTvg4DtHEpKZAIZUO91RI2Hzsby5B+aDIq2MI5RwRg+LanJVqkK7&#10;I73jYR0aFkvIF0pCG0JfcO7rFq3yM9cjRW/nBqtClEPD9aCOsdwangqRc6s6ih9a1eNLi/V+PVoJ&#10;D6vxO719ejt/PTu/NHniP1/dSsrraSIegQU8hb8wXPAjOlSRaetG0p4ZCXdCxC1BQpalwGIgT7M5&#10;sO3vgVcl/7+g+gFQSwMEFAAAAAgAh07iQNlE/m/0AQAA/wMAAA4AAABkcnMvZTJvRG9jLnhtbK1T&#10;y27bMBC8F+g/ELzXsg2jTg3LQWE3vRStgaQfsKYoiQBf2GUs+++7pBwnTXvIIReJ5Gpndoaj9e3J&#10;WXHUSCb4Ws4mUym0V6Exvqvl74e7TzdSUALfgA1e1/KsSd5uPn5YD3Gl56EPttEoGMTTaoi17FOK&#10;q6oi1WsHNAlRey62AR0k3mJXNQgDoztbzafTz9UQsIkYlCbi091YlBdEfAtgaFuj9C6oR6d9GlFR&#10;W0gsiXoTSW7KtG2rVfrVtqSTsLVkpak8mYTXh/ysNmtYdQixN+oyArxlhFeaHBjPpFeoHSQQj2j+&#10;gXJGYaDQpokKrhqFFEdYxWz6ypv7HqIuWthqilfT6f1g1c/jHoVpasnX7sHxhd8nBNP1SXxFDIPY&#10;Bu/ZxoDiJrs1RFpx09bv8bKjuMcs/dSiy28WJU7F4fPVYX1KQvHh8gtHgL1XT6XquS8ipe86OJEX&#10;taTLGFf+WTEYjj8oMTM3PjVkUh/ujLXlNq0XAwd7vixEwBFtORrM6SLLJN9JAbbj7KuEBZKCNU1u&#10;z0CE3WFrURyBE7NYLOfbRZbNdH99lrl3QP34XcOrMUrOJP47rHFsKCvlEcpMvYbmm29EOkd2OKEB&#10;31k91hIY+/8ak1rP3Nnz0eW8OoTmXMwv55yLMt0lwzl4L/el+/m/3f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LzE6dkAAAAJAQAADwAAAAAAAAABACAAAAAiAAAAZHJzL2Rvd25yZXYueG1sUEsB&#10;AhQAFAAAAAgAh07iQNlE/m/0AQAA/wMAAA4AAAAAAAAAAQAgAAAAKAEAAGRycy9lMm9Eb2MueG1s&#10;UEsFBgAAAAAGAAYAWQEAAI4FAAAAAA==&#10;">
                <v:fill on="f" focussize="0,0"/>
                <v:stroke weight="1pt" color="#4472C4 [3204]" miterlimit="8" joinstyle="miter" dashstyle="dash" startarrow="block" endarrow="block"/>
                <v:imagedata o:title=""/>
                <o:lock v:ext="edit" aspectratio="f"/>
              </v:shape>
            </w:pict>
          </mc:Fallback>
        </mc:AlternateContent>
      </w:r>
      <w:r>
        <w:rPr>
          <w:rFonts w:hint="eastAsia"/>
        </w:rPr>
        <mc:AlternateContent>
          <mc:Choice Requires="wps">
            <w:drawing>
              <wp:anchor distT="0" distB="0" distL="114300" distR="114300" simplePos="0" relativeHeight="251696128" behindDoc="0" locked="0" layoutInCell="1" allowOverlap="1">
                <wp:simplePos x="0" y="0"/>
                <wp:positionH relativeFrom="column">
                  <wp:posOffset>1276350</wp:posOffset>
                </wp:positionH>
                <wp:positionV relativeFrom="paragraph">
                  <wp:posOffset>293370</wp:posOffset>
                </wp:positionV>
                <wp:extent cx="791845" cy="0"/>
                <wp:effectExtent l="38100" t="76200" r="27305" b="95250"/>
                <wp:wrapNone/>
                <wp:docPr id="3" name="Straight Arrow Connector 3"/>
                <wp:cNvGraphicFramePr/>
                <a:graphic xmlns:a="http://schemas.openxmlformats.org/drawingml/2006/main">
                  <a:graphicData uri="http://schemas.microsoft.com/office/word/2010/wordprocessingShape">
                    <wps:wsp>
                      <wps:cNvCnPr/>
                      <wps:spPr>
                        <a:xfrm>
                          <a:off x="0" y="0"/>
                          <a:ext cx="792000" cy="0"/>
                        </a:xfrm>
                        <a:prstGeom prst="straightConnector1">
                          <a:avLst/>
                        </a:prstGeom>
                        <a:ln w="12700">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o:spt="32" type="#_x0000_t32" style="position:absolute;left:0pt;margin-left:100.5pt;margin-top:23.1pt;height:0pt;width:62.35pt;z-index:251696128;mso-width-relative:page;mso-height-relative:page;" filled="f" stroked="t" coordsize="21600,21600" o:gfxdata="UEsDBAoAAAAAAIdO4kAAAAAAAAAAAAAAAAAEAAAAZHJzL1BLAwQUAAAACACHTuJAGG5FU9kAAAAJ&#10;AQAADwAAAGRycy9kb3ducmV2LnhtbE2PS0/DMBCE70j8B2srcaN2XAgQ4lQ81ANSLxRQe3TjbRJh&#10;r6PY6ePf44oDHGdnNPtNOT86y/Y4hM6TgmwqgCHV3nTUKPj8WFzfAwtRk9HWEyo4YYB5dXlR6sL4&#10;A73jfhUblkooFFpBG2NfcB7qFp0OU98jJW/nB6djkkPDzaAPqdxZLoXIudMdpQ+t7vGlxfp7NToF&#10;D8txI2dPb6f1sw8Lm2fh69UvlbqaZOIRWMRj/AvDGT+hQ5WYtn4kE5hVIEWWtkQFN7kElgIzeXsH&#10;bPt74FXJ/y+ofgBQSwMEFAAAAAgAh07iQKlbiSn1AQAA/wMAAA4AAABkcnMvZTJvRG9jLnhtbK1T&#10;y27bMBC8F+g/ELzXsh2jTg3LQWE3vRStgaQfsKYoiQBf2GUs+++7pBynTXvIoReJ5GpndkbD9d3J&#10;WXHUSCb4Ws4mUym0V6Exvqvlz8f7D7dSUALfgA1e1/KsSd5t3r9bD3Gl56EPttEoGMTTaoi17FOK&#10;q6oi1WsHNAlRey62AR0k3mJXNQgDoztbzafTj9UQsIkYlCbi091YlBdEfAtgaFuj9C6oJ6d9GlFR&#10;W0gsiXoTSW7KtG2rVfrRtqSTsLVkpak8mYTXh/ysNmtYdQixN+oyArxlhFeaHBjPpFeoHSQQT2j+&#10;gnJGYaDQpokKrhqFFEdYxWz6ypuHHqIuWthqilfT6f/Bqu/HPQrT1PJGCg+Of/hDQjBdn8RnxDCI&#10;bfCebQwobrJbQ6QVN239Hi87invM0k8tuvxmUeJUHD5fHdanJBQfLj9xBNh79VyqXvoiUvqqgxN5&#10;UUu6jHHlnxWD4fiNEjNz43NDJvXh3lhb/qb1YuBgz5eFCDiiLUeDOV1kmeQ7KcB2nH2VsEBSsKbJ&#10;7RmIsDtsLYojcGIWi+V8u8iyme6PzzL3Dqgfv2t4NUbJmcS3wxpXy1tWyiOUmXoNzRffiHSO7HBC&#10;A76zeqwlMPbfNSa1nrmz56PLeXUIzbmYX845F2W6S4Zz8H7fl+6Xe7v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huRVPZAAAACQEAAA8AAAAAAAAAAQAgAAAAIgAAAGRycy9kb3ducmV2LnhtbFBL&#10;AQIUABQAAAAIAIdO4kCpW4kp9QEAAP8DAAAOAAAAAAAAAAEAIAAAACgBAABkcnMvZTJvRG9jLnht&#10;bFBLBQYAAAAABgAGAFkBAACPBQAAAAA=&#10;">
                <v:fill on="f" focussize="0,0"/>
                <v:stroke weight="1pt" color="#4472C4 [3204]" miterlimit="8" joinstyle="miter" dashstyle="dash" startarrow="block" endarrow="block"/>
                <v:imagedata o:title=""/>
                <o:lock v:ext="edit" aspectratio="f"/>
              </v:shape>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4019550</wp:posOffset>
                </wp:positionH>
                <wp:positionV relativeFrom="paragraph">
                  <wp:posOffset>46355</wp:posOffset>
                </wp:positionV>
                <wp:extent cx="1187450" cy="539750"/>
                <wp:effectExtent l="0" t="0" r="12700" b="12700"/>
                <wp:wrapNone/>
                <wp:docPr id="49" name="流程图: 可选过程 13"/>
                <wp:cNvGraphicFramePr/>
                <a:graphic xmlns:a="http://schemas.openxmlformats.org/drawingml/2006/main">
                  <a:graphicData uri="http://schemas.microsoft.com/office/word/2010/wordprocessingShape">
                    <wps:wsp>
                      <wps:cNvSpPr/>
                      <wps:spPr>
                        <a:xfrm>
                          <a:off x="0" y="0"/>
                          <a:ext cx="1187450" cy="539750"/>
                        </a:xfrm>
                        <a:prstGeom prst="flowChartAlternateProcess">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b/>
                                <w:bCs/>
                                <w:sz w:val="24"/>
                                <w:szCs w:val="24"/>
                              </w:rPr>
                            </w:pPr>
                            <w:r>
                              <w:rPr>
                                <w:rFonts w:hint="eastAsia" w:ascii="宋体" w:hAnsi="宋体" w:eastAsia="宋体"/>
                                <w:b/>
                                <w:bCs/>
                                <w:sz w:val="24"/>
                                <w:szCs w:val="24"/>
                              </w:rPr>
                              <w:t>未如实披露的</w:t>
                            </w:r>
                          </w:p>
                          <w:p>
                            <w:pPr>
                              <w:jc w:val="center"/>
                              <w:rPr>
                                <w:rFonts w:ascii="宋体" w:hAnsi="宋体" w:eastAsia="宋体"/>
                                <w:b/>
                                <w:bCs/>
                                <w:sz w:val="24"/>
                                <w:szCs w:val="24"/>
                              </w:rPr>
                            </w:pPr>
                            <w:r>
                              <w:rPr>
                                <w:rFonts w:hint="eastAsia" w:ascii="宋体" w:hAnsi="宋体" w:eastAsia="宋体"/>
                                <w:b/>
                                <w:bCs/>
                                <w:sz w:val="24"/>
                                <w:szCs w:val="24"/>
                              </w:rPr>
                              <w:t>关联方客户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left:316.5pt;margin-top:3.65pt;height:42.5pt;width:93.5pt;z-index:251694080;v-text-anchor:middle;mso-width-relative:page;mso-height-relative:page;" fillcolor="#2E75B6 [2408]" filled="t" stroked="t" coordsize="21600,21600" o:gfxdata="UEsDBAoAAAAAAIdO4kAAAAAAAAAAAAAAAAAEAAAAZHJzL1BLAwQUAAAACACHTuJAw25oK9kAAAAI&#10;AQAADwAAAGRycy9kb3ducmV2LnhtbE2PQUvDQBSE74L/YXmCl2I3baC2MS8FC16UHoyFetxmn9nQ&#10;3bchu22jv971ZI/DDDPflOvRWXGmIXSeEWbTDARx43XHLcLu4+VhCSJExVpZz4TwTQHW1e1NqQrt&#10;L/xO5zq2IpVwKBSCibEvpAyNIafC1PfEyfvyg1MxyaGVelCXVO6snGfZQjrVcVowqqeNoeZYnxzC&#10;6/5IG7v//Bl39cRMVnH7vH3TiPd3s+wJRKQx/ofhDz+hQ5WYDv7EOgiLsMjz9CUiPOYgkr9McyAO&#10;CKt5DrIq5fWB6hdQSwMEFAAAAAgAh07iQDmsHfq8AgAAagUAAA4AAABkcnMvZTJvRG9jLnhtbK1U&#10;zW4TMRC+I/EOlu90s2lC0qibKiQEIRUaqSDOjtebteQ/bCebcoITQhx4AF6AGyeu8DTl5y0Y25v+&#10;gUQPXHZnPJ5vZr6Z8eHRVgq0YdZxrQqc73UwYorqkqtVgZ8/m98bYuQ8USURWrECnzGHj8Z37xw2&#10;ZsS6utaiZBYBiHKjxhS49t6MsszRmkni9rRhCoyVtpJ4UO0qKy1pAF2KrNvp3M8abUtjNWXOweks&#10;GXGLaG8DqKuKUzbTdC2Z8gnVMkE8lORqbhwex2yrilF/UlWOeSQKDJX6+IUgIC/DNxsfktHKElNz&#10;2qZAbpPCjZok4QqCXkDNiCdobfkfUJJTq52u/B7VMkuFREagirxzg5vTmhgWawGqnbkg3f0/WPp0&#10;s7CIlwXuHWCkiISOf//y5sen9+cfv47Q+YfPv16/+/ntLRygfD/Q1Rg3Aq9Ts7Ct5kAMtW8rK8Mf&#10;qkLbSPHZBcVs6xGFwzwfDnp9YJ+Crb9/MAAZYLJLb2Odf8S0REEocCV0M62J9RPhmVXEs0WanUg3&#10;2Rw7n/x3fiEDpwUv51yIqNjVcios2hCYge7DQf/B/egr1vKJLtMxpNHZJeLS/ZjUNSChUAMVdAdw&#10;FVECs1/BzIEoDfDn1AojIlawVNTbGOGadwvbpjHvd4fzdKkmJUunIYl/ZhHqnBFXJ5cYIk2x5EAQ&#10;ElwWeBiAdkhCQSmha6lPQfLb5bZt3lKXZzABVqfVcIbOOUQ4Js4viIVdgFrhtfAn8Am9KLBuJYxq&#10;bV/97TzchxEFK0YN7BaQ83JNLMNIPFYwvAd5rwewPiq9/qALir1qWV61qLWcamhdDu+SoVEM973Y&#10;iZXV8gU8KpMQFUxEUYid2tAqU592Hp4lyiaTeA0W0BB/rE4NDeBhVJSerL2ueBypQFRip+UPVjAO&#10;RftchB2/qsdbl0/k+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Dbmgr2QAAAAgBAAAPAAAAAAAA&#10;AAEAIAAAACIAAABkcnMvZG93bnJldi54bWxQSwECFAAUAAAACACHTuJAOawd+rwCAABqBQAADgAA&#10;AAAAAAABACAAAAAoAQAAZHJzL2Uyb0RvYy54bWxQSwUGAAAAAAYABgBZAQAAVgYAAAAA&#10;">
                <v:fill on="t" focussize="0,0"/>
                <v:stroke weight="1pt" color="#2F528F [3204]" miterlimit="8" joinstyle="miter"/>
                <v:imagedata o:title=""/>
                <o:lock v:ext="edit" aspectratio="f"/>
                <v:textbox>
                  <w:txbxContent>
                    <w:p>
                      <w:pPr>
                        <w:jc w:val="center"/>
                        <w:rPr>
                          <w:rFonts w:ascii="宋体" w:hAnsi="宋体" w:eastAsia="宋体"/>
                          <w:b/>
                          <w:bCs/>
                          <w:sz w:val="24"/>
                          <w:szCs w:val="24"/>
                        </w:rPr>
                      </w:pPr>
                      <w:r>
                        <w:rPr>
                          <w:rFonts w:hint="eastAsia" w:ascii="宋体" w:hAnsi="宋体" w:eastAsia="宋体"/>
                          <w:b/>
                          <w:bCs/>
                          <w:sz w:val="24"/>
                          <w:szCs w:val="24"/>
                        </w:rPr>
                        <w:t>未如实披露的</w:t>
                      </w:r>
                    </w:p>
                    <w:p>
                      <w:pPr>
                        <w:jc w:val="center"/>
                        <w:rPr>
                          <w:rFonts w:ascii="宋体" w:hAnsi="宋体" w:eastAsia="宋体"/>
                          <w:b/>
                          <w:bCs/>
                          <w:sz w:val="24"/>
                          <w:szCs w:val="24"/>
                        </w:rPr>
                      </w:pPr>
                      <w:r>
                        <w:rPr>
                          <w:rFonts w:hint="eastAsia" w:ascii="宋体" w:hAnsi="宋体" w:eastAsia="宋体"/>
                          <w:b/>
                          <w:bCs/>
                          <w:sz w:val="24"/>
                          <w:szCs w:val="24"/>
                        </w:rPr>
                        <w:t>关联方客户</w:t>
                      </w:r>
                    </w:p>
                  </w:txbxContent>
                </v:textbox>
              </v:shape>
            </w:pict>
          </mc:Fallback>
        </mc:AlternateContent>
      </w:r>
      <w:r>
        <w:rPr>
          <w:rFonts w:hint="eastAsia"/>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53975</wp:posOffset>
                </wp:positionV>
                <wp:extent cx="1188085" cy="539750"/>
                <wp:effectExtent l="0" t="0" r="12700" b="12700"/>
                <wp:wrapNone/>
                <wp:docPr id="48" name="流程图: 可选过程 13"/>
                <wp:cNvGraphicFramePr/>
                <a:graphic xmlns:a="http://schemas.openxmlformats.org/drawingml/2006/main">
                  <a:graphicData uri="http://schemas.microsoft.com/office/word/2010/wordprocessingShape">
                    <wps:wsp>
                      <wps:cNvSpPr/>
                      <wps:spPr>
                        <a:xfrm>
                          <a:off x="0" y="0"/>
                          <a:ext cx="1188000" cy="540000"/>
                        </a:xfrm>
                        <a:prstGeom prst="flowChartAlternateProcess">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b/>
                                <w:bCs/>
                                <w:sz w:val="24"/>
                                <w:szCs w:val="24"/>
                              </w:rPr>
                            </w:pPr>
                            <w:r>
                              <w:rPr>
                                <w:rFonts w:hint="eastAsia" w:ascii="宋体" w:hAnsi="宋体" w:eastAsia="宋体"/>
                                <w:b/>
                                <w:bCs/>
                                <w:sz w:val="24"/>
                                <w:szCs w:val="24"/>
                              </w:rPr>
                              <w:t>未如实披露的</w:t>
                            </w:r>
                          </w:p>
                          <w:p>
                            <w:pPr>
                              <w:jc w:val="center"/>
                              <w:rPr>
                                <w:rFonts w:ascii="宋体" w:hAnsi="宋体" w:eastAsia="宋体"/>
                                <w:b/>
                                <w:bCs/>
                                <w:sz w:val="24"/>
                                <w:szCs w:val="24"/>
                              </w:rPr>
                            </w:pPr>
                            <w:r>
                              <w:rPr>
                                <w:rFonts w:hint="eastAsia" w:ascii="宋体" w:hAnsi="宋体" w:eastAsia="宋体"/>
                                <w:b/>
                                <w:bCs/>
                                <w:sz w:val="24"/>
                                <w:szCs w:val="24"/>
                              </w:rPr>
                              <w:t>关联方供应商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3" o:spid="_x0000_s1026" o:spt="176" type="#_x0000_t176" style="position:absolute;left:0pt;margin-top:4.25pt;height:42.5pt;width:93.55pt;mso-position-horizontal:left;mso-position-horizontal-relative:margin;z-index:251693056;v-text-anchor:middle;mso-width-relative:page;mso-height-relative:page;" fillcolor="#2E75B6 [2408]" filled="t" stroked="t" coordsize="21600,21600" o:gfxdata="UEsDBAoAAAAAAIdO4kAAAAAAAAAAAAAAAAAEAAAAZHJzL1BLAwQUAAAACACHTuJALCULwtcAAAAF&#10;AQAADwAAAGRycy9kb3ducmV2LnhtbE2PQUvDQBSE74L/YXmCl9JuolTTmJeCBS9KD42F9rjNPrOh&#10;2bchu22jv97tSY/DDDPfFMvRduJMg28dI6SzBARx7XTLDcL2822agfBBsVadY0L4Jg/L8vamULl2&#10;F97QuQqNiCXsc4VgQuhzKX1tyCo/cz1x9L7cYFWIcmikHtQllttOPiTJk7Sq5bhgVE8rQ/WxOlmE&#10;992RVt1u/zNuq4mZLML6df2hEe/v0uQFRKAx/IXhih/RoYxMB3di7UWHEI8EhGwO4mpmzymIA8Li&#10;cQ6yLOR/+vIXUEsDBBQAAAAIAIdO4kBvI3tkvAIAAGoFAAAOAAAAZHJzL2Uyb0RvYy54bWytVM1u&#10;EzEQviPxDpbvdLMhaULUTRUSgpAKjVQQZ8frzVryH7aTTTmVE0IceABegBsnrvA05ectGNvb9AeQ&#10;euCyO+PxfDPzzYwPDrdSoA2zjmtV4HyvgxFTVJdcrQr84vn83hAj54kqidCKFfiUOXw4vnvnoDEj&#10;1tW1FiWzCECUGzWmwLX3ZpRljtZMErenDVNgrLSVxINqV1lpSQPoUmTdTmc/a7QtjdWUOQens2TE&#10;LaK9DaCuKk7ZTNO1ZMonVMsE8VCSq7lxeByzrSpG/XFVOeaRKDBU6uMXgoC8DN9sfEBGK0tMzWmb&#10;ArlNCjdqkoQrCLqDmhFP0NryP6Akp1Y7Xfk9qmWWComMQBV55wY3JzUxLNYCVDuzI939P1j6bLOw&#10;iJcF7kHfFZHQ8e9f3vz49P7849cROv/w+dfZu5/f3sIByu8HuhrjRuB1Yha21RyIofZtZWX4Q1Vo&#10;Gyk+3VHMth5ROMzz4bDTAfYp2Po9EGMPsktvY51/zLREQShwJXQzrYn1E+GZVcSzRZqdSDfZHDkP&#10;aYD/hV/IwGnByzkXIip2tZwKizYEZqD7aNB/uB99xVo+1WU6HvQvE3HpfgS9BiQUaqCC7iDmT2D2&#10;K5g5KEUa4M+pFUZErGCpqLcxwjXvFrZNY97vDufpUk1Klk5DEhd0/DOLUOeMuDq5xBBpiiUHgpDg&#10;ssCB4h2SUFBK6FrqU5D8drltm7fU5SlMgNVpNZyhcw4RjojzC2JhF6BX8Fr4Y/iEXhRYtxJGtbav&#10;/3Ye7sOIghWjBnYLyHm1JpZhJJ4oGN4Hea8XljEqvf6gC4q9alletai1nGpoXQ7vkqFRDPe9uBAr&#10;q+VLeFQmISqYiKIQO7WhVaY+7Tw8S5RNJvEaLKAh/kidGBrAw6goPVl7XfE4UoGoxE7LH6xgHIr2&#10;uQg7flWPty6fyP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LCULwtcAAAAFAQAADwAAAAAAAAAB&#10;ACAAAAAiAAAAZHJzL2Rvd25yZXYueG1sUEsBAhQAFAAAAAgAh07iQG8je2S8AgAAagUAAA4AAAAA&#10;AAAAAQAgAAAAJgEAAGRycy9lMm9Eb2MueG1sUEsFBgAAAAAGAAYAWQEAAFQGAAAAAA==&#10;">
                <v:fill on="t" focussize="0,0"/>
                <v:stroke weight="1pt" color="#2F528F [3204]" miterlimit="8" joinstyle="miter"/>
                <v:imagedata o:title=""/>
                <o:lock v:ext="edit" aspectratio="f"/>
                <v:textbox>
                  <w:txbxContent>
                    <w:p>
                      <w:pPr>
                        <w:jc w:val="center"/>
                        <w:rPr>
                          <w:rFonts w:ascii="宋体" w:hAnsi="宋体" w:eastAsia="宋体"/>
                          <w:b/>
                          <w:bCs/>
                          <w:sz w:val="24"/>
                          <w:szCs w:val="24"/>
                        </w:rPr>
                      </w:pPr>
                      <w:r>
                        <w:rPr>
                          <w:rFonts w:hint="eastAsia" w:ascii="宋体" w:hAnsi="宋体" w:eastAsia="宋体"/>
                          <w:b/>
                          <w:bCs/>
                          <w:sz w:val="24"/>
                          <w:szCs w:val="24"/>
                        </w:rPr>
                        <w:t>未如实披露的</w:t>
                      </w:r>
                    </w:p>
                    <w:p>
                      <w:pPr>
                        <w:jc w:val="center"/>
                        <w:rPr>
                          <w:rFonts w:ascii="宋体" w:hAnsi="宋体" w:eastAsia="宋体"/>
                          <w:b/>
                          <w:bCs/>
                          <w:sz w:val="24"/>
                          <w:szCs w:val="24"/>
                        </w:rPr>
                      </w:pPr>
                      <w:r>
                        <w:rPr>
                          <w:rFonts w:hint="eastAsia" w:ascii="宋体" w:hAnsi="宋体" w:eastAsia="宋体"/>
                          <w:b/>
                          <w:bCs/>
                          <w:sz w:val="24"/>
                          <w:szCs w:val="24"/>
                        </w:rPr>
                        <w:t>关联方供应商</w:t>
                      </w:r>
                    </w:p>
                  </w:txbxContent>
                </v:textbox>
              </v:shape>
            </w:pict>
          </mc:Fallback>
        </mc:AlternateContent>
      </w: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704320" behindDoc="0" locked="0" layoutInCell="1" allowOverlap="1">
                <wp:simplePos x="0" y="0"/>
                <wp:positionH relativeFrom="margin">
                  <wp:posOffset>2355850</wp:posOffset>
                </wp:positionH>
                <wp:positionV relativeFrom="paragraph">
                  <wp:posOffset>59690</wp:posOffset>
                </wp:positionV>
                <wp:extent cx="2482850" cy="298450"/>
                <wp:effectExtent l="0" t="0" r="0" b="0"/>
                <wp:wrapNone/>
                <wp:docPr id="14" name="Rectangle 14"/>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虚构购销交易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185.5pt;margin-top:4.7pt;height:23.5pt;width:195.5pt;mso-position-horizontal-relative:margin;z-index:251704320;v-text-anchor:middle;mso-width-relative:page;mso-height-relative:page;" filled="f" stroked="f" coordsize="21600,21600" o:gfxdata="UEsDBAoAAAAAAIdO4kAAAAAAAAAAAAAAAAAEAAAAZHJzL1BLAwQUAAAACACHTuJAZ7EZE9cAAAAI&#10;AQAADwAAAGRycy9kb3ducmV2LnhtbE2PwU7DMBBE70j8g7VI3KiTUtI2ZFMJJIRQD4hC747tJhHx&#10;OoqdpP17lhMcRzOaeVPszq4Tkx1C6wkhXSQgLGlvWqoRvj5f7jYgQlRkVOfJIlxsgF15fVWo3PiZ&#10;Pux0iLXgEgq5Qmhi7HMpg26sU2Hhe0vsnfzgVGQ51NIMauZy18llkmTSqZZ4oVG9fW6s/j6MDuHo&#10;T0+z0xW9TZf3dnzdD1pv9oi3N2nyCCLac/wLwy8+o0PJTJUfyQTRIdyvU/4SEbYrEOyvsyXrCuEh&#10;W4EsC/n/QPkDUEsDBBQAAAAIAIdO4kCvYY0RVAIAALIEAAAOAAAAZHJzL2Uyb0RvYy54bWytVE1v&#10;2zAMvQ/YfxB0X50Y6ZoGdYqgQYcBxVo0G3ZWZCkWoK9JSpzu1+9Jdtug26GH5eCQIv1IPj366vpo&#10;NDmIEJWzDZ2eTSgRlrtW2V1Df3y//TSnJCZmW6adFQ19EpFeLz9+uOr9QtSuc7oVgQDExkXvG9ql&#10;5BdVFXknDItnzguLoHTBsAQ37Ko2sB7oRlf1ZPK56l1ofXBcxIjT9RCkI2J4D6CTUnGxdnxvhE0D&#10;ahCaJYwUO+UjXZZupRQ83UsZRSK6oZg0lSeKwN7mZ7W8YotdYL5TfGyBvaeFNzMZpiyKvkCtWWJk&#10;H9RfUEbx4KKT6Yw7Uw2DFEYwxXTyhptNx7wos4Dq6F9Ij/8Pln87PASiWihhRollBjf+CNaY3WlB&#10;cAaCeh8XyNv4hzB6EWae9iiDyf+YgxwLqU8vpIpjIhyH9Wxez8/BN0esvpzPYAOmen3bh5i+CGdI&#10;NhoaUL5wyQ53MQ2pzym5mHW3Smucs4W2pEfn9cUk4zOoUUIFMI3HRNHuKGF6B5nzFArkybsZcs1i&#10;Rw4M2ohOq3ZQg1EJAtfKNHQ+yb+xXW3RdeZimD5b6bg9jpRsXfsEJoMbJBY9v1WocMdiemABmkKH&#10;2Lp0j4fUDm270aKkc+H3v85zPq4aUUp6aBRt/tqzICjRXy1EcDmdzQCbijM7v6jhhNPI9jRi9+bG&#10;YdQp9tvzYub8pJ9NGZz5ieVc5aoIMctReyBvdG7SsDtYby5Wq5IGIXuW7uzG8ww+XNFqn5xU5fYy&#10;UQM7I3+Qcrn/ce3yrpz6Jev1U7P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exGRPXAAAACAEA&#10;AA8AAAAAAAAAAQAgAAAAIgAAAGRycy9kb3ducmV2LnhtbFBLAQIUABQAAAAIAIdO4kCvYY0RVAIA&#10;ALIEAAAOAAAAAAAAAAEAIAAAACYBAABkcnMvZTJvRG9jLnhtbFBLBQYAAAAABgAGAFkBAADsBQAA&#10;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虚构购销交易</w:t>
                      </w:r>
                    </w:p>
                  </w:txbxContent>
                </v:textbox>
              </v:rect>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margin">
                  <wp:posOffset>457200</wp:posOffset>
                </wp:positionH>
                <wp:positionV relativeFrom="paragraph">
                  <wp:posOffset>97155</wp:posOffset>
                </wp:positionV>
                <wp:extent cx="2482850" cy="298450"/>
                <wp:effectExtent l="0" t="0" r="0" b="0"/>
                <wp:wrapNone/>
                <wp:docPr id="12" name="Rectangle 12"/>
                <wp:cNvGraphicFramePr/>
                <a:graphic xmlns:a="http://schemas.openxmlformats.org/drawingml/2006/main">
                  <a:graphicData uri="http://schemas.microsoft.com/office/word/2010/wordprocessingShape">
                    <wps:wsp>
                      <wps:cNvSpPr/>
                      <wps:spPr>
                        <a:xfrm>
                          <a:off x="0" y="0"/>
                          <a:ext cx="24828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虚构购销交易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 o:spid="_x0000_s1026" o:spt="1" style="position:absolute;left:0pt;margin-left:36pt;margin-top:7.65pt;height:23.5pt;width:195.5pt;mso-position-horizontal-relative:margin;z-index:251703296;v-text-anchor:middle;mso-width-relative:page;mso-height-relative:page;" filled="f" stroked="f" coordsize="21600,21600" o:gfxdata="UEsDBAoAAAAAAIdO4kAAAAAAAAAAAAAAAAAEAAAAZHJzL1BLAwQUAAAACACHTuJAwqfTmNYAAAAI&#10;AQAADwAAAGRycy9kb3ducmV2LnhtbE2PwU7DMBBE70j8g7VI3KjTBNIqxKkEEkKoB0Shd8feJhHx&#10;OoqdpP17lhMcd2Y0+6bcnV0vZhxD50nBepWAQDLedtQo+Pp8uduCCFGT1b0nVHDBALvq+qrUhfUL&#10;feB8iI3gEgqFVtDGOBRSBtOi02HlByT2Tn50OvI5NtKOeuFy18s0SXLpdEf8odUDPrdovg+TU3D0&#10;p6fFmZre5st7N73uR2O2e6Vub9bJI4iI5/gXhl98RoeKmWo/kQ2iV7BJeUpk/SEDwf59nrFQK8jT&#10;DGRVyv8Dqh9QSwMEFAAAAAgAh07iQFeNC7BTAgAAsgQAAA4AAABkcnMvZTJvRG9jLnhtbK1UTW/b&#10;MAy9D9h/EHRfnRjpmgZ1iqBBhwHFWjQbdlZkKRagr0lKnO7X70l226DboYfl4JAi/Ug+Pfrq+mg0&#10;OYgQlbMNnZ5NKBGWu1bZXUN/fL/9NKckJmZbpp0VDX0SkV4vP3646v1C1K5zuhWBAMTGRe8b2qXk&#10;F1UVeScMi2fOC4ugdMGwBDfsqjawHuhGV/Vk8rnqXWh9cFzEiNP1EKQjYngPoJNScbF2fG+ETQNq&#10;EJoljBQ75SNdlm6lFDzdSxlFIrqhmDSVJ4rA3uZntbxii11gvlN8bIG9p4U3MxmmLIq+QK1ZYmQf&#10;1F9QRvHgopPpjDtTDYMURjDFdPKGm03HvCizgOroX0iP/w+Wfzs8BKJaKKGmxDKDG38Ea8zutCA4&#10;A0G9jwvkbfxDGL0IM097lMHkf8xBjoXUpxdSxTERjsN6Nq/n5+CbI1ZfzmewAVO9vu1DTF+EMyQb&#10;DQ0oX7hkh7uYhtTnlFzMululNc7ZQlvS584vJhmfQY0SKoBpPCaKdkcJ0zvInKdQIE/ezZBrFjty&#10;YNBGdFq1gxqMShC4Vqah80n+je1qi64zF8P02UrH7XGkZOvaJzAZ3CCx6PmtQoU7FtMDC9AUOsTW&#10;pXs8pHZo240WJZ0Lv/91nvNx1YhS0kOjaPPXngVBif5qIYLL6WwG2FSc2flFDSecRranEbs3Nw6j&#10;TrHfnhcz5yf9bMrgzE8s5ypXRYhZjtoDeaNzk4bdwXpzsVqVNAjZs3RnN55n8OGKVvvkpCq3l4ka&#10;2Bn5g5TL/Y9rl3fl1C9Zr5+a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Cp9OY1gAAAAgBAAAP&#10;AAAAAAAAAAEAIAAAACIAAABkcnMvZG93bnJldi54bWxQSwECFAAUAAAACACHTuJAV40LsFMCAACy&#10;BAAADgAAAAAAAAABACAAAAAlAQAAZHJzL2Uyb0RvYy54bWxQSwUGAAAAAAYABgBZAQAA6gUA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虚构购销交易</w:t>
                      </w:r>
                    </w:p>
                  </w:txbxContent>
                </v:textbox>
              </v:rect>
            </w:pict>
          </mc:Fallback>
        </mc:AlternateConten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r>
        <w:rPr>
          <w:rFonts w:hint="eastAsi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-635</wp:posOffset>
                </wp:positionV>
                <wp:extent cx="5143500" cy="469900"/>
                <wp:effectExtent l="0" t="0" r="0" b="0"/>
                <wp:wrapNone/>
                <wp:docPr id="9" name="Rectangle 9"/>
                <wp:cNvGraphicFramePr/>
                <a:graphic xmlns:a="http://schemas.openxmlformats.org/drawingml/2006/main">
                  <a:graphicData uri="http://schemas.microsoft.com/office/word/2010/wordprocessingShape">
                    <wps:wsp>
                      <wps:cNvSpPr/>
                      <wps:spPr>
                        <a:xfrm>
                          <a:off x="0" y="0"/>
                          <a:ext cx="5143500" cy="469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伪造全链条系列业务单据</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（覆盖采购、生产、销售、库存管理、物流运输、资金收付、财务记账全流程）</w:t>
                            </w:r>
                          </w:p>
                          <w:p>
                            <w:pPr>
                              <w:jc w:val="center"/>
                              <w:rPr>
                                <w:rFonts w:ascii="宋体" w:hAnsi="宋体" w:eastAsia="宋体"/>
                                <w:color w:val="000000" w:themeColor="text1"/>
                                <w:szCs w:val="2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0pt;margin-top:-0.05pt;height:37pt;width:405pt;z-index:251699200;v-text-anchor:middle;mso-width-relative:page;mso-height-relative:page;" filled="f" stroked="f" coordsize="21600,21600" o:gfxdata="UEsDBAoAAAAAAIdO4kAAAAAAAAAAAAAAAAAEAAAAZHJzL1BLAwQUAAAACACHTuJAwO/wB9MAAAAF&#10;AQAADwAAAGRycy9kb3ducmV2LnhtbE2PQUvEMBSE74L/IbwFb7tJFbTWpgsKIrIHcVfvafK2Ldu8&#10;lCZtd/+9z5Mehxlmvim3Z9+LGcfYBdKQbRQIJBtcR42Gr8PrOgcRkyFn+kCo4YIRttX1VWkKFxb6&#10;xHmfGsElFAujoU1pKKSMtkVv4iYMSOwdw+hNYjk20o1m4XLfy1ul7qU3HfFCawZ8adGe9pPX8B2O&#10;z4u3Nb3Pl49uetuN1uY7rW9WmXoCkfCc/sLwi8/oUDFTHSZyUfQa+EjSsM5AsJlninWt4eHuEWRV&#10;yv/01Q9QSwMEFAAAAAgAh07iQNoVa5lUAgAAsAQAAA4AAABkcnMvZTJvRG9jLnhtbK1UTW8aMRC9&#10;V+p/sHxvFij5ALFEKIiqUtRESauejddmLfmrtmFJf32fvZsEpT3kUA7LjGf2zczzm11cH40mBxGi&#10;cram47MRJcJy1yi7q+mP75tPV5TExGzDtLOipk8i0uvlxw+Lzs/FxLVONyIQgNg473xN25T8vKoi&#10;b4Vh8cx5YRGULhiW4IZd1QTWAd3oajIaXVSdC40PjosYcbrug3RADO8BdFIqLtaO742wqUcNQrOE&#10;kWKrfKTL0q2Ugqc7KaNIRNcUk6byRBHY2/yslgs23wXmW8WHFth7Wngzk2HKougL1JolRvZB/QVl&#10;FA8uOpnOuDNVP0hhBFOMR2+4eWyZF2UWUB39C+nx/8Hyb4f7QFRT0xkllhlc+ANIY3anBZllejof&#10;58h69Pdh8CLMPOtRBpP/MQU5FkqfXigVx0Q4Ds/H08/nI7DNEZtezGawAVO9vu1DTF+EMyQbNQ2o&#10;Xphkh9uY+tTnlFzMuo3SGudsri3poODJZcFn0KKEBlDKeMwT7Y4SpncQOU+hQJ68myHXLLbkwKCM&#10;6LRqei0YlSBvrUxNr0b5N7SrLbrOXPTTZysdt8eBkq1rnsBjcL3AoucbhQq3LKZ7FqAoMICdS3d4&#10;SO3QthssSloXfv/rPOfjohGlpINC0eavPQuCEv3VQgKz8XSaJV2c6fnlBE44jWxPI3ZvbhxGHWO7&#10;PS9mzk/62ZTBmZ9YzVWuihCzHLV78gbnJvWbg+XmYrUqaZCxZ+nWPnqewfsrWu2Tk6rcXiaqZ2fg&#10;D0Iu9z8sXd6UU79kvX5o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O/wB9MAAAAFAQAADwAA&#10;AAAAAAABACAAAAAiAAAAZHJzL2Rvd25yZXYueG1sUEsBAhQAFAAAAAgAh07iQNoVa5lUAgAAsAQA&#10;AA4AAAAAAAAAAQAgAAAAIgEAAGRycy9lMm9Eb2MueG1sUEsFBgAAAAAGAAYAWQEAAOgFAAAAAA==&#10;">
                <v:fill on="f" focussize="0,0"/>
                <v:stroke on="f" weight="1pt" miterlimit="8" joinstyle="miter"/>
                <v:imagedata o:title=""/>
                <o:lock v:ext="edit" aspectratio="f"/>
                <v:textbox>
                  <w:txbxContent>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伪造全链条系列业务单据</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（覆盖采购、生产、销售、库存管理、物流运输、资金收付、财务记账全流程）</w:t>
                      </w:r>
                    </w:p>
                    <w:p>
                      <w:pPr>
                        <w:jc w:val="center"/>
                        <w:rPr>
                          <w:rFonts w:ascii="宋体" w:hAnsi="宋体" w:eastAsia="宋体"/>
                          <w:color w:val="000000" w:themeColor="text1"/>
                          <w:szCs w:val="21"/>
                          <w14:textFill>
                            <w14:solidFill>
                              <w14:schemeClr w14:val="tx1"/>
                            </w14:solidFill>
                          </w14:textFill>
                        </w:rPr>
                      </w:pPr>
                    </w:p>
                  </w:txbxContent>
                </v:textbox>
              </v:rect>
            </w:pict>
          </mc:Fallback>
        </mc:AlternateContent>
      </w:r>
    </w:p>
    <w:p>
      <w:pPr>
        <w:spacing w:line="360" w:lineRule="auto"/>
        <w:ind w:firstLine="490"/>
        <w:rPr>
          <w:rFonts w:ascii="宋体" w:hAnsi="宋体" w:eastAsia="宋体"/>
          <w:sz w:val="24"/>
          <w:szCs w:val="24"/>
        </w:rPr>
      </w:pPr>
    </w:p>
    <w:p>
      <w:pPr>
        <w:spacing w:line="360" w:lineRule="auto"/>
        <w:ind w:firstLine="490"/>
        <w:rPr>
          <w:rFonts w:ascii="宋体" w:hAnsi="宋体" w:eastAsia="宋体"/>
          <w:sz w:val="24"/>
          <w:szCs w:val="24"/>
        </w:rPr>
      </w:pPr>
    </w:p>
    <w:p>
      <w:pPr>
        <w:spacing w:line="360" w:lineRule="auto"/>
        <w:ind w:firstLine="480" w:firstLineChars="200"/>
        <w:rPr>
          <w:rFonts w:ascii="宋体" w:hAnsi="宋体" w:eastAsia="宋体"/>
          <w:sz w:val="24"/>
          <w:szCs w:val="24"/>
        </w:rPr>
      </w:pPr>
      <w:r>
        <w:rPr>
          <w:rFonts w:ascii="宋体" w:hAnsi="宋体" w:eastAsia="宋体"/>
          <w:sz w:val="24"/>
          <w:szCs w:val="24"/>
        </w:rPr>
        <w:t>(1)蓝山科技</w:t>
      </w:r>
      <w:r>
        <w:rPr>
          <w:rFonts w:hint="eastAsia" w:ascii="宋体" w:hAnsi="宋体" w:eastAsia="宋体"/>
          <w:sz w:val="24"/>
          <w:szCs w:val="24"/>
        </w:rPr>
        <w:t>的</w:t>
      </w:r>
      <w:r>
        <w:rPr>
          <w:rFonts w:ascii="宋体" w:hAnsi="宋体" w:eastAsia="宋体"/>
          <w:sz w:val="24"/>
          <w:szCs w:val="24"/>
        </w:rPr>
        <w:t>实际控制人谭某</w:t>
      </w:r>
      <w:r>
        <w:rPr>
          <w:rFonts w:hint="eastAsia" w:ascii="宋体" w:hAnsi="宋体" w:eastAsia="宋体"/>
          <w:sz w:val="24"/>
          <w:szCs w:val="24"/>
        </w:rPr>
        <w:t>与</w:t>
      </w:r>
      <w:r>
        <w:rPr>
          <w:rFonts w:ascii="宋体" w:hAnsi="宋体" w:eastAsia="宋体"/>
          <w:sz w:val="24"/>
          <w:szCs w:val="24"/>
        </w:rPr>
        <w:t>赵某梅</w:t>
      </w:r>
      <w:r>
        <w:rPr>
          <w:rFonts w:hint="eastAsia" w:ascii="宋体" w:hAnsi="宋体" w:eastAsia="宋体"/>
          <w:sz w:val="24"/>
          <w:szCs w:val="24"/>
        </w:rPr>
        <w:t>，对</w:t>
      </w:r>
      <w:r>
        <w:rPr>
          <w:rFonts w:ascii="宋体" w:hAnsi="宋体" w:eastAsia="宋体"/>
          <w:sz w:val="24"/>
          <w:szCs w:val="24"/>
        </w:rPr>
        <w:t>北京天越五洲科技有限公司等</w:t>
      </w:r>
      <w:r>
        <w:rPr>
          <w:rFonts w:hint="eastAsia" w:ascii="宋体" w:hAnsi="宋体" w:eastAsia="宋体"/>
          <w:sz w:val="24"/>
          <w:szCs w:val="24"/>
        </w:rPr>
        <w:t>十家</w:t>
      </w:r>
      <w:r>
        <w:rPr>
          <w:rFonts w:ascii="宋体" w:hAnsi="宋体" w:eastAsia="宋体"/>
          <w:sz w:val="24"/>
          <w:szCs w:val="24"/>
        </w:rPr>
        <w:t>公司</w:t>
      </w:r>
      <w:r>
        <w:rPr>
          <w:rFonts w:hint="eastAsia" w:ascii="宋体" w:hAnsi="宋体" w:eastAsia="宋体"/>
          <w:sz w:val="24"/>
          <w:szCs w:val="24"/>
        </w:rPr>
        <w:t>，从公司设立意图、人员关系、财务管理、员工工资及福利发放、资料保管等方面均进行</w:t>
      </w:r>
      <w:r>
        <w:rPr>
          <w:rFonts w:ascii="宋体" w:hAnsi="宋体" w:eastAsia="宋体"/>
          <w:sz w:val="24"/>
          <w:szCs w:val="24"/>
        </w:rPr>
        <w:t>实</w:t>
      </w:r>
      <w:r>
        <w:rPr>
          <w:rFonts w:hint="eastAsia" w:ascii="宋体" w:hAnsi="宋体" w:eastAsia="宋体"/>
          <w:sz w:val="24"/>
          <w:szCs w:val="24"/>
        </w:rPr>
        <w:t>际控制，蓝山科技与前述公司实质上构成关联方关系，但蓝山科技未如实披露相关</w:t>
      </w:r>
      <w:r>
        <w:rPr>
          <w:rFonts w:ascii="宋体" w:hAnsi="宋体" w:eastAsia="宋体"/>
          <w:sz w:val="24"/>
          <w:szCs w:val="24"/>
        </w:rPr>
        <w:t>关联关系</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蓝山科技通过上述未如实披露的关联方以及冒用外部客户、供应商名义，虚构无实际生产、无实物流转的采购与销售循环业务，</w:t>
      </w:r>
      <w:r>
        <w:rPr>
          <w:rFonts w:ascii="宋体" w:hAnsi="宋体" w:eastAsia="宋体"/>
          <w:sz w:val="24"/>
          <w:szCs w:val="24"/>
        </w:rPr>
        <w:t>在采购、生产、销售、库</w:t>
      </w:r>
      <w:r>
        <w:rPr>
          <w:rFonts w:hint="eastAsia" w:ascii="宋体" w:hAnsi="宋体" w:eastAsia="宋体"/>
          <w:sz w:val="24"/>
          <w:szCs w:val="24"/>
        </w:rPr>
        <w:t>存管理</w:t>
      </w:r>
      <w:r>
        <w:rPr>
          <w:rFonts w:ascii="宋体" w:hAnsi="宋体" w:eastAsia="宋体"/>
          <w:sz w:val="24"/>
          <w:szCs w:val="24"/>
        </w:rPr>
        <w:t>、物流运输、</w:t>
      </w:r>
      <w:r>
        <w:rPr>
          <w:rFonts w:hint="eastAsia" w:ascii="宋体" w:hAnsi="宋体" w:eastAsia="宋体"/>
          <w:sz w:val="24"/>
          <w:szCs w:val="24"/>
        </w:rPr>
        <w:t>资金收付、</w:t>
      </w:r>
      <w:r>
        <w:rPr>
          <w:rFonts w:ascii="宋体" w:hAnsi="宋体" w:eastAsia="宋体"/>
          <w:sz w:val="24"/>
          <w:szCs w:val="24"/>
        </w:rPr>
        <w:t>财务记账等各个环节实施全链条造假</w:t>
      </w:r>
      <w:r>
        <w:rPr>
          <w:rFonts w:hint="eastAsia" w:ascii="宋体" w:hAnsi="宋体" w:eastAsia="宋体"/>
          <w:sz w:val="24"/>
          <w:szCs w:val="24"/>
        </w:rPr>
        <w:t>，并通过虚假记账方式虚增银行存款余额，同步实现虚构资金流转闭环。</w:t>
      </w:r>
    </w:p>
    <w:p>
      <w:pPr>
        <w:spacing w:line="360" w:lineRule="auto"/>
        <w:ind w:firstLine="490"/>
        <w:rPr>
          <w:rFonts w:ascii="宋体" w:hAnsi="宋体" w:eastAsia="宋体"/>
          <w:sz w:val="24"/>
          <w:szCs w:val="24"/>
        </w:rPr>
      </w:pPr>
      <w:r>
        <w:rPr>
          <w:rFonts w:hint="eastAsia" w:ascii="宋体" w:hAnsi="宋体" w:eastAsia="宋体"/>
          <w:sz w:val="24"/>
          <w:szCs w:val="24"/>
        </w:rPr>
        <w:t>根据中国证监会行政处罚决定书〔</w:t>
      </w:r>
      <w:r>
        <w:rPr>
          <w:rFonts w:ascii="宋体" w:hAnsi="宋体" w:eastAsia="宋体"/>
          <w:sz w:val="24"/>
          <w:szCs w:val="24"/>
        </w:rPr>
        <w:t>20</w:t>
      </w:r>
      <w:r>
        <w:rPr>
          <w:rFonts w:hint="eastAsia" w:ascii="宋体" w:hAnsi="宋体" w:eastAsia="宋体"/>
          <w:sz w:val="24"/>
          <w:szCs w:val="24"/>
        </w:rPr>
        <w:t>21</w:t>
      </w:r>
      <w:r>
        <w:rPr>
          <w:rFonts w:ascii="宋体" w:hAnsi="宋体" w:eastAsia="宋体"/>
          <w:sz w:val="24"/>
          <w:szCs w:val="24"/>
        </w:rPr>
        <w:t>〕</w:t>
      </w:r>
      <w:r>
        <w:rPr>
          <w:rFonts w:hint="eastAsia" w:ascii="宋体" w:hAnsi="宋体" w:eastAsia="宋体"/>
          <w:sz w:val="24"/>
          <w:szCs w:val="24"/>
        </w:rPr>
        <w:t>99</w:t>
      </w:r>
      <w:r>
        <w:rPr>
          <w:rFonts w:ascii="宋体" w:hAnsi="宋体" w:eastAsia="宋体"/>
          <w:sz w:val="24"/>
          <w:szCs w:val="24"/>
        </w:rPr>
        <w:t>号</w:t>
      </w:r>
      <w:r>
        <w:rPr>
          <w:rFonts w:hint="eastAsia" w:ascii="宋体" w:hAnsi="宋体" w:eastAsia="宋体"/>
          <w:sz w:val="24"/>
          <w:szCs w:val="24"/>
        </w:rPr>
        <w:t>，C会计师事务所（特殊普通合伙）（以下简称C事务所）对蓝山科技</w:t>
      </w:r>
      <w:r>
        <w:rPr>
          <w:rFonts w:ascii="宋体" w:hAnsi="宋体" w:eastAsia="宋体"/>
          <w:sz w:val="24"/>
          <w:szCs w:val="24"/>
        </w:rPr>
        <w:t>201</w:t>
      </w:r>
      <w:r>
        <w:rPr>
          <w:rFonts w:hint="eastAsia" w:ascii="宋体" w:hAnsi="宋体" w:eastAsia="宋体"/>
          <w:sz w:val="24"/>
          <w:szCs w:val="24"/>
        </w:rPr>
        <w:t>7至2019</w:t>
      </w:r>
      <w:r>
        <w:rPr>
          <w:rFonts w:ascii="宋体" w:hAnsi="宋体" w:eastAsia="宋体"/>
          <w:sz w:val="24"/>
          <w:szCs w:val="24"/>
        </w:rPr>
        <w:t>年</w:t>
      </w:r>
      <w:r>
        <w:rPr>
          <w:rFonts w:hint="eastAsia" w:ascii="宋体" w:hAnsi="宋体" w:eastAsia="宋体"/>
          <w:sz w:val="24"/>
          <w:szCs w:val="24"/>
        </w:rPr>
        <w:t>财务报表进行</w:t>
      </w:r>
      <w:r>
        <w:rPr>
          <w:rFonts w:ascii="宋体" w:hAnsi="宋体" w:eastAsia="宋体"/>
          <w:sz w:val="24"/>
          <w:szCs w:val="24"/>
        </w:rPr>
        <w:t>审计，</w:t>
      </w:r>
      <w:r>
        <w:rPr>
          <w:rFonts w:hint="eastAsia" w:ascii="宋体" w:hAnsi="宋体" w:eastAsia="宋体"/>
          <w:sz w:val="24"/>
          <w:szCs w:val="24"/>
        </w:rPr>
        <w:t>但未能发现上述收入舞弊情况</w:t>
      </w:r>
      <w:r>
        <w:rPr>
          <w:rFonts w:ascii="宋体" w:hAnsi="宋体" w:eastAsia="宋体"/>
          <w:sz w:val="24"/>
          <w:szCs w:val="24"/>
        </w:rPr>
        <w:t>。</w:t>
      </w:r>
    </w:p>
    <w:p>
      <w:pPr>
        <w:spacing w:line="360" w:lineRule="auto"/>
        <w:ind w:firstLine="504"/>
        <w:rPr>
          <w:rFonts w:ascii="宋体" w:hAnsi="宋体" w:eastAsia="宋体"/>
          <w:sz w:val="24"/>
          <w:szCs w:val="24"/>
        </w:rPr>
      </w:pPr>
      <w:r>
        <w:rPr>
          <w:rFonts w:hint="eastAsia" w:ascii="宋体" w:hAnsi="宋体" w:eastAsia="宋体"/>
          <w:sz w:val="24"/>
          <w:szCs w:val="24"/>
        </w:rPr>
        <w:t>对前述蓝山科技的收入舞弊，C事务所未能设计与执行充分而恰当的审计程序，最终发表不恰当的审计意见，分析如下：</w:t>
      </w:r>
    </w:p>
    <w:p>
      <w:pPr>
        <w:ind w:firstLine="480" w:firstLineChars="200"/>
        <w:rPr>
          <w:rFonts w:ascii="宋体" w:hAnsi="宋体" w:eastAsia="宋体"/>
          <w:sz w:val="24"/>
          <w:szCs w:val="24"/>
        </w:rPr>
      </w:pPr>
      <w:r>
        <w:rPr>
          <w:rFonts w:ascii="宋体" w:hAnsi="宋体" w:eastAsia="宋体"/>
          <w:sz w:val="24"/>
          <w:szCs w:val="24"/>
        </w:rPr>
        <w:t>(1)C事务所</w:t>
      </w:r>
      <w:r>
        <w:rPr>
          <w:rFonts w:hint="eastAsia" w:ascii="宋体" w:hAnsi="宋体" w:eastAsia="宋体"/>
          <w:sz w:val="24"/>
          <w:szCs w:val="24"/>
        </w:rPr>
        <w:t>对销售业务流程执行的内部控制测试不到位。</w:t>
      </w:r>
      <w:r>
        <w:rPr>
          <w:rFonts w:ascii="宋体" w:hAnsi="宋体" w:eastAsia="宋体"/>
          <w:sz w:val="24"/>
          <w:szCs w:val="24"/>
        </w:rPr>
        <w:t xml:space="preserve"> </w:t>
      </w:r>
    </w:p>
    <w:p>
      <w:pPr>
        <w:spacing w:line="360" w:lineRule="auto"/>
        <w:ind w:firstLine="504"/>
        <w:rPr>
          <w:rFonts w:ascii="宋体" w:hAnsi="宋体" w:eastAsia="宋体"/>
          <w:sz w:val="24"/>
          <w:szCs w:val="24"/>
        </w:rPr>
      </w:pPr>
      <w:r>
        <w:rPr>
          <w:rFonts w:ascii="宋体" w:hAnsi="宋体" w:eastAsia="宋体"/>
          <w:sz w:val="24"/>
          <w:szCs w:val="24"/>
        </w:rPr>
        <w:t>C事务所</w:t>
      </w:r>
      <w:r>
        <w:rPr>
          <w:rFonts w:hint="eastAsia" w:ascii="宋体" w:hAnsi="宋体" w:eastAsia="宋体"/>
          <w:sz w:val="24"/>
          <w:szCs w:val="24"/>
        </w:rPr>
        <w:t>对</w:t>
      </w:r>
      <w:r>
        <w:rPr>
          <w:rFonts w:ascii="宋体" w:hAnsi="宋体" w:eastAsia="宋体"/>
          <w:sz w:val="24"/>
          <w:szCs w:val="24"/>
        </w:rPr>
        <w:t>蓝山科技</w:t>
      </w:r>
      <w:r>
        <w:rPr>
          <w:rFonts w:hint="eastAsia" w:ascii="宋体" w:hAnsi="宋体" w:eastAsia="宋体"/>
          <w:sz w:val="24"/>
          <w:szCs w:val="24"/>
        </w:rPr>
        <w:t>销售与收款业务流程的内部控制测试执行不到位，</w:t>
      </w:r>
      <w:r>
        <w:rPr>
          <w:rFonts w:ascii="宋体" w:hAnsi="宋体" w:eastAsia="宋体"/>
          <w:sz w:val="24"/>
          <w:szCs w:val="24"/>
        </w:rPr>
        <w:t>未根据蓝山科技收入确认</w:t>
      </w:r>
      <w:r>
        <w:rPr>
          <w:rFonts w:hint="eastAsia" w:ascii="宋体" w:hAnsi="宋体" w:eastAsia="宋体"/>
          <w:sz w:val="24"/>
          <w:szCs w:val="24"/>
        </w:rPr>
        <w:t>会计</w:t>
      </w:r>
      <w:r>
        <w:rPr>
          <w:rFonts w:ascii="宋体" w:hAnsi="宋体" w:eastAsia="宋体"/>
          <w:sz w:val="24"/>
          <w:szCs w:val="24"/>
        </w:rPr>
        <w:t>政策</w:t>
      </w:r>
      <w:r>
        <w:rPr>
          <w:rFonts w:hint="eastAsia" w:ascii="宋体" w:hAnsi="宋体" w:eastAsia="宋体"/>
          <w:sz w:val="24"/>
          <w:szCs w:val="24"/>
        </w:rPr>
        <w:t>，</w:t>
      </w:r>
      <w:r>
        <w:rPr>
          <w:rFonts w:ascii="宋体" w:hAnsi="宋体" w:eastAsia="宋体"/>
          <w:sz w:val="24"/>
          <w:szCs w:val="24"/>
        </w:rPr>
        <w:t>结合具体销售业务</w:t>
      </w:r>
      <w:r>
        <w:rPr>
          <w:rFonts w:hint="eastAsia" w:ascii="宋体" w:hAnsi="宋体" w:eastAsia="宋体"/>
          <w:sz w:val="24"/>
          <w:szCs w:val="24"/>
        </w:rPr>
        <w:t>情况，</w:t>
      </w:r>
      <w:r>
        <w:rPr>
          <w:rFonts w:ascii="宋体" w:hAnsi="宋体" w:eastAsia="宋体"/>
          <w:sz w:val="24"/>
          <w:szCs w:val="24"/>
        </w:rPr>
        <w:t>对</w:t>
      </w:r>
      <w:r>
        <w:rPr>
          <w:rFonts w:hint="eastAsia" w:ascii="宋体" w:hAnsi="宋体" w:eastAsia="宋体"/>
          <w:sz w:val="24"/>
          <w:szCs w:val="24"/>
        </w:rPr>
        <w:t>涉及</w:t>
      </w:r>
      <w:r>
        <w:rPr>
          <w:rFonts w:ascii="宋体" w:hAnsi="宋体" w:eastAsia="宋体"/>
          <w:sz w:val="24"/>
          <w:szCs w:val="24"/>
        </w:rPr>
        <w:t>产品验收流程</w:t>
      </w:r>
      <w:r>
        <w:rPr>
          <w:rFonts w:hint="eastAsia" w:ascii="宋体" w:hAnsi="宋体" w:eastAsia="宋体"/>
          <w:sz w:val="24"/>
          <w:szCs w:val="24"/>
        </w:rPr>
        <w:t>的内部控制关键点</w:t>
      </w:r>
      <w:r>
        <w:rPr>
          <w:rFonts w:ascii="宋体" w:hAnsi="宋体" w:eastAsia="宋体"/>
          <w:sz w:val="24"/>
          <w:szCs w:val="24"/>
        </w:rPr>
        <w:t>进行</w:t>
      </w:r>
      <w:r>
        <w:rPr>
          <w:rFonts w:hint="eastAsia" w:ascii="宋体" w:hAnsi="宋体" w:eastAsia="宋体"/>
          <w:sz w:val="24"/>
          <w:szCs w:val="24"/>
        </w:rPr>
        <w:t>充分</w:t>
      </w:r>
      <w:r>
        <w:rPr>
          <w:rFonts w:ascii="宋体" w:hAnsi="宋体" w:eastAsia="宋体"/>
          <w:sz w:val="24"/>
          <w:szCs w:val="24"/>
        </w:rPr>
        <w:t>了解和测试</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(2)C事务所</w:t>
      </w:r>
      <w:r>
        <w:rPr>
          <w:rFonts w:hint="eastAsia" w:ascii="宋体" w:hAnsi="宋体" w:eastAsia="宋体"/>
          <w:sz w:val="24"/>
          <w:szCs w:val="24"/>
        </w:rPr>
        <w:t>执行的客户函证程序存在缺陷。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C事务所</w:t>
      </w:r>
      <w:r>
        <w:rPr>
          <w:rFonts w:hint="eastAsia" w:ascii="宋体" w:hAnsi="宋体" w:eastAsia="宋体"/>
          <w:sz w:val="24"/>
          <w:szCs w:val="24"/>
        </w:rPr>
        <w:t>未</w:t>
      </w:r>
      <w:r>
        <w:rPr>
          <w:rFonts w:ascii="宋体" w:hAnsi="宋体" w:eastAsia="宋体"/>
          <w:sz w:val="24"/>
          <w:szCs w:val="24"/>
        </w:rPr>
        <w:t>对被询证单位的地址</w:t>
      </w:r>
      <w:r>
        <w:rPr>
          <w:rFonts w:hint="eastAsia" w:ascii="宋体" w:hAnsi="宋体" w:eastAsia="宋体"/>
          <w:sz w:val="24"/>
          <w:szCs w:val="24"/>
        </w:rPr>
        <w:t>、</w:t>
      </w:r>
      <w:r>
        <w:rPr>
          <w:rFonts w:ascii="宋体" w:hAnsi="宋体" w:eastAsia="宋体"/>
          <w:sz w:val="24"/>
          <w:szCs w:val="24"/>
        </w:rPr>
        <w:t>联系人</w:t>
      </w:r>
      <w:r>
        <w:rPr>
          <w:rFonts w:hint="eastAsia" w:ascii="宋体" w:hAnsi="宋体" w:eastAsia="宋体"/>
          <w:sz w:val="24"/>
          <w:szCs w:val="24"/>
        </w:rPr>
        <w:t>、联络电话</w:t>
      </w:r>
      <w:r>
        <w:rPr>
          <w:rFonts w:ascii="宋体" w:hAnsi="宋体" w:eastAsia="宋体"/>
          <w:sz w:val="24"/>
          <w:szCs w:val="24"/>
        </w:rPr>
        <w:t>等影响函证真实性的重要信息</w:t>
      </w:r>
      <w:r>
        <w:rPr>
          <w:rFonts w:hint="eastAsia" w:ascii="宋体" w:hAnsi="宋体" w:eastAsia="宋体"/>
          <w:sz w:val="24"/>
          <w:szCs w:val="24"/>
        </w:rPr>
        <w:t>予以有效</w:t>
      </w:r>
      <w:r>
        <w:rPr>
          <w:rFonts w:ascii="宋体" w:hAnsi="宋体" w:eastAsia="宋体"/>
          <w:sz w:val="24"/>
          <w:szCs w:val="24"/>
        </w:rPr>
        <w:t>关注</w:t>
      </w:r>
      <w:r>
        <w:rPr>
          <w:rFonts w:hint="eastAsia" w:ascii="宋体" w:hAnsi="宋体" w:eastAsia="宋体"/>
          <w:sz w:val="24"/>
          <w:szCs w:val="24"/>
        </w:rPr>
        <w:t>与核验，未亲自发函并对询证函予以有效控制跟进。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C事务所</w:t>
      </w:r>
      <w:r>
        <w:rPr>
          <w:rFonts w:hint="eastAsia" w:ascii="宋体" w:hAnsi="宋体" w:eastAsia="宋体"/>
          <w:sz w:val="24"/>
          <w:szCs w:val="24"/>
        </w:rPr>
        <w:t>未对取得的客户回函进行有效评价，包括核验回函寄件人、寄出地址、回函联系人及其联络电话等，是否与寄出询证函中记载的被询证单位各项联络信息保持一致。</w:t>
      </w:r>
    </w:p>
    <w:p>
      <w:pPr>
        <w:spacing w:line="360" w:lineRule="auto"/>
        <w:ind w:firstLine="480" w:firstLineChars="200"/>
        <w:rPr>
          <w:rFonts w:ascii="宋体" w:hAnsi="宋体" w:eastAsia="宋体"/>
          <w:sz w:val="24"/>
          <w:szCs w:val="24"/>
        </w:rPr>
      </w:pPr>
      <w:r>
        <w:rPr>
          <w:rFonts w:ascii="宋体" w:hAnsi="宋体" w:eastAsia="宋体"/>
          <w:sz w:val="24"/>
          <w:szCs w:val="24"/>
        </w:rPr>
        <w:t>(3)C事务所</w:t>
      </w:r>
      <w:r>
        <w:rPr>
          <w:rFonts w:hint="eastAsia" w:ascii="宋体" w:hAnsi="宋体" w:eastAsia="宋体"/>
          <w:sz w:val="24"/>
          <w:szCs w:val="24"/>
        </w:rPr>
        <w:t>未审慎查验获取的审计证据</w:t>
      </w:r>
      <w:r>
        <w:rPr>
          <w:rFonts w:ascii="宋体" w:hAnsi="宋体" w:eastAsia="宋体"/>
          <w:sz w:val="24"/>
          <w:szCs w:val="24"/>
        </w:rPr>
        <w:t>,未能识别客户与蓝山科技之间的关联关系</w:t>
      </w:r>
      <w:r>
        <w:rPr>
          <w:rFonts w:hint="eastAsia" w:ascii="宋体" w:hAnsi="宋体" w:eastAsia="宋体"/>
          <w:sz w:val="24"/>
          <w:szCs w:val="24"/>
        </w:rPr>
        <w:t>。</w:t>
      </w:r>
    </w:p>
    <w:p>
      <w:pPr>
        <w:spacing w:line="360" w:lineRule="auto"/>
        <w:ind w:firstLine="504"/>
        <w:rPr>
          <w:rFonts w:ascii="宋体" w:hAnsi="宋体" w:eastAsia="宋体"/>
          <w:sz w:val="24"/>
          <w:szCs w:val="24"/>
        </w:rPr>
      </w:pPr>
      <w:r>
        <w:rPr>
          <w:rFonts w:ascii="宋体" w:hAnsi="宋体" w:eastAsia="宋体"/>
          <w:sz w:val="24"/>
          <w:szCs w:val="24"/>
        </w:rPr>
        <w:t>C事务所</w:t>
      </w:r>
      <w:r>
        <w:rPr>
          <w:rFonts w:hint="eastAsia" w:ascii="宋体" w:hAnsi="宋体" w:eastAsia="宋体"/>
          <w:sz w:val="24"/>
          <w:szCs w:val="24"/>
        </w:rPr>
        <w:t>未能有效关注到蓝山科技与其客户(如北京天越五洲科技有限公司、北京康居网络科技有限公司与北京拓普星际科技有限公司)的电话号码号段相邻、地址相近等明显异常情况，未实施进一步程序核实双方可能的潜在关联关系，</w:t>
      </w:r>
      <w:r>
        <w:rPr>
          <w:rFonts w:ascii="宋体" w:hAnsi="宋体" w:eastAsia="宋体"/>
          <w:sz w:val="24"/>
          <w:szCs w:val="24"/>
        </w:rPr>
        <w:t>导致未</w:t>
      </w:r>
      <w:r>
        <w:rPr>
          <w:rFonts w:hint="eastAsia" w:ascii="宋体" w:hAnsi="宋体" w:eastAsia="宋体"/>
          <w:sz w:val="24"/>
          <w:szCs w:val="24"/>
        </w:rPr>
        <w:t>能</w:t>
      </w:r>
      <w:r>
        <w:rPr>
          <w:rFonts w:ascii="宋体" w:hAnsi="宋体" w:eastAsia="宋体"/>
          <w:sz w:val="24"/>
          <w:szCs w:val="24"/>
        </w:rPr>
        <w:t>识别</w:t>
      </w:r>
      <w:r>
        <w:rPr>
          <w:rFonts w:hint="eastAsia" w:ascii="宋体" w:hAnsi="宋体" w:eastAsia="宋体"/>
          <w:sz w:val="24"/>
          <w:szCs w:val="24"/>
        </w:rPr>
        <w:t>出前述客户</w:t>
      </w:r>
      <w:r>
        <w:rPr>
          <w:rFonts w:ascii="宋体" w:hAnsi="宋体" w:eastAsia="宋体"/>
          <w:sz w:val="24"/>
          <w:szCs w:val="24"/>
        </w:rPr>
        <w:t>与蓝山科技的关联关系</w:t>
      </w:r>
      <w:r>
        <w:rPr>
          <w:rFonts w:hint="eastAsia" w:ascii="宋体" w:hAnsi="宋体" w:eastAsia="宋体"/>
          <w:sz w:val="24"/>
          <w:szCs w:val="24"/>
        </w:rPr>
        <w:t>，未能</w:t>
      </w:r>
      <w:r>
        <w:rPr>
          <w:rFonts w:ascii="宋体" w:hAnsi="宋体" w:eastAsia="宋体"/>
          <w:sz w:val="24"/>
          <w:szCs w:val="24"/>
        </w:rPr>
        <w:t>发现</w:t>
      </w:r>
      <w:r>
        <w:rPr>
          <w:rFonts w:hint="eastAsia" w:ascii="宋体" w:hAnsi="宋体" w:eastAsia="宋体"/>
          <w:sz w:val="24"/>
          <w:szCs w:val="24"/>
        </w:rPr>
        <w:t>蓝山科技所虚构的</w:t>
      </w:r>
      <w:r>
        <w:rPr>
          <w:rFonts w:ascii="宋体" w:hAnsi="宋体" w:eastAsia="宋体"/>
          <w:sz w:val="24"/>
          <w:szCs w:val="24"/>
        </w:rPr>
        <w:t>销售业务</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(4)C事务所</w:t>
      </w:r>
      <w:r>
        <w:rPr>
          <w:rFonts w:hint="eastAsia" w:ascii="宋体" w:hAnsi="宋体" w:eastAsia="宋体"/>
          <w:sz w:val="24"/>
          <w:szCs w:val="24"/>
        </w:rPr>
        <w:t>未对蓝山科技销售业务的货物验收与物流运输获取充分审计证据，未对异常情况保持职业怀疑。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C事务所</w:t>
      </w:r>
      <w:r>
        <w:rPr>
          <w:rFonts w:hint="eastAsia" w:ascii="宋体" w:hAnsi="宋体" w:eastAsia="宋体"/>
          <w:sz w:val="24"/>
          <w:szCs w:val="24"/>
        </w:rPr>
        <w:t>未对作为收入确认条件的产品验收情况，获取充分审计证据，</w:t>
      </w:r>
      <w:r>
        <w:rPr>
          <w:rFonts w:ascii="宋体" w:hAnsi="宋体" w:eastAsia="宋体"/>
          <w:sz w:val="24"/>
          <w:szCs w:val="24"/>
        </w:rPr>
        <w:t>未对</w:t>
      </w:r>
      <w:r>
        <w:rPr>
          <w:rFonts w:hint="eastAsia" w:ascii="宋体" w:hAnsi="宋体" w:eastAsia="宋体"/>
          <w:sz w:val="24"/>
          <w:szCs w:val="24"/>
        </w:rPr>
        <w:t>销售</w:t>
      </w:r>
      <w:r>
        <w:rPr>
          <w:rFonts w:ascii="宋体" w:hAnsi="宋体" w:eastAsia="宋体"/>
          <w:sz w:val="24"/>
          <w:szCs w:val="24"/>
        </w:rPr>
        <w:t>合同和验收单据签名异常等情况保持职业怀疑</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C事务所未对产品实际发运</w:t>
      </w:r>
      <w:r>
        <w:rPr>
          <w:rFonts w:hint="eastAsia" w:ascii="宋体" w:hAnsi="宋体" w:eastAsia="宋体"/>
          <w:sz w:val="24"/>
          <w:szCs w:val="24"/>
        </w:rPr>
        <w:t>情况</w:t>
      </w:r>
      <w:r>
        <w:rPr>
          <w:rFonts w:ascii="宋体" w:hAnsi="宋体" w:eastAsia="宋体"/>
          <w:sz w:val="24"/>
          <w:szCs w:val="24"/>
        </w:rPr>
        <w:t>和运输费付款真实性</w:t>
      </w:r>
      <w:r>
        <w:rPr>
          <w:rFonts w:hint="eastAsia" w:ascii="宋体" w:hAnsi="宋体" w:eastAsia="宋体"/>
          <w:sz w:val="24"/>
          <w:szCs w:val="24"/>
        </w:rPr>
        <w:t>，</w:t>
      </w:r>
      <w:r>
        <w:rPr>
          <w:rFonts w:ascii="宋体" w:hAnsi="宋体" w:eastAsia="宋体"/>
          <w:sz w:val="24"/>
          <w:szCs w:val="24"/>
        </w:rPr>
        <w:t>获取充分审计证据</w:t>
      </w:r>
      <w:r>
        <w:rPr>
          <w:rFonts w:hint="eastAsia" w:ascii="宋体" w:hAnsi="宋体" w:eastAsia="宋体"/>
          <w:sz w:val="24"/>
          <w:szCs w:val="24"/>
        </w:rPr>
        <w:t>，</w:t>
      </w:r>
      <w:r>
        <w:rPr>
          <w:rFonts w:ascii="宋体" w:hAnsi="宋体" w:eastAsia="宋体"/>
          <w:sz w:val="24"/>
          <w:szCs w:val="24"/>
        </w:rPr>
        <w:t>未对货物</w:t>
      </w:r>
      <w:r>
        <w:rPr>
          <w:rFonts w:hint="eastAsia" w:ascii="宋体" w:hAnsi="宋体" w:eastAsia="宋体"/>
          <w:sz w:val="24"/>
          <w:szCs w:val="24"/>
        </w:rPr>
        <w:t>运输单据</w:t>
      </w:r>
      <w:r>
        <w:rPr>
          <w:rFonts w:ascii="宋体" w:hAnsi="宋体" w:eastAsia="宋体"/>
          <w:sz w:val="24"/>
          <w:szCs w:val="24"/>
        </w:rPr>
        <w:t>没有实际承运单位等异常情况保持职业怀疑</w:t>
      </w:r>
      <w:r>
        <w:rPr>
          <w:rFonts w:hint="eastAsia" w:ascii="宋体" w:hAnsi="宋体" w:eastAsia="宋体"/>
          <w:sz w:val="24"/>
          <w:szCs w:val="24"/>
        </w:rPr>
        <w:t>。</w:t>
      </w:r>
    </w:p>
    <w:p>
      <w:pPr>
        <w:spacing w:line="360" w:lineRule="auto"/>
        <w:ind w:firstLine="504"/>
        <w:rPr>
          <w:rFonts w:ascii="宋体" w:hAnsi="宋体" w:eastAsia="宋体"/>
          <w:sz w:val="24"/>
          <w:szCs w:val="24"/>
        </w:rPr>
      </w:pPr>
      <w:r>
        <w:rPr>
          <w:rFonts w:hint="eastAsia" w:ascii="宋体" w:hAnsi="宋体" w:eastAsia="宋体"/>
          <w:sz w:val="24"/>
          <w:szCs w:val="24"/>
        </w:rPr>
        <w:t>除上述三个典型收入舞弊案件外，近年以来也发生了一些收入舞弊案件，形式和手段略有不同，实质与上述三个典型案件较为类似，简要分析如下：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辽宁振隆特产股份有限公司（以下简称振隆特产）</w:t>
      </w:r>
      <w:r>
        <w:rPr>
          <w:rFonts w:ascii="宋体" w:hAnsi="宋体" w:eastAsia="宋体"/>
          <w:sz w:val="24"/>
          <w:szCs w:val="24"/>
        </w:rPr>
        <w:t>2012年至2014年</w:t>
      </w:r>
      <w:r>
        <w:rPr>
          <w:rFonts w:hint="eastAsia" w:ascii="宋体" w:hAnsi="宋体" w:eastAsia="宋体"/>
          <w:sz w:val="24"/>
          <w:szCs w:val="24"/>
        </w:rPr>
        <w:t>期间，通过伪造与多个境外客户签署的出口销售合同，虚增合同销售单价方式，虚增出口销售收入。</w:t>
      </w:r>
      <w:r>
        <w:rPr>
          <w:rFonts w:ascii="宋体" w:hAnsi="宋体" w:eastAsia="宋体"/>
          <w:sz w:val="24"/>
          <w:szCs w:val="24"/>
        </w:rPr>
        <w:t>D会计师事务所(特殊普通合伙)</w:t>
      </w:r>
      <w:r>
        <w:rPr>
          <w:rFonts w:hint="eastAsia" w:ascii="宋体" w:hAnsi="宋体" w:eastAsia="宋体"/>
          <w:sz w:val="24"/>
          <w:szCs w:val="24"/>
        </w:rPr>
        <w:t>（</w:t>
      </w:r>
      <w:r>
        <w:rPr>
          <w:rFonts w:ascii="宋体" w:hAnsi="宋体" w:eastAsia="宋体"/>
          <w:sz w:val="24"/>
          <w:szCs w:val="24"/>
        </w:rPr>
        <w:t>以下简称D事务所）</w:t>
      </w:r>
      <w:r>
        <w:rPr>
          <w:rFonts w:hint="eastAsia" w:ascii="宋体" w:hAnsi="宋体" w:eastAsia="宋体"/>
          <w:sz w:val="24"/>
          <w:szCs w:val="24"/>
        </w:rPr>
        <w:t>未能执行有效审计程序应对舞弊，主要原因包括：</w:t>
      </w:r>
      <w:r>
        <w:rPr>
          <w:rFonts w:ascii="宋体" w:hAnsi="宋体" w:eastAsia="宋体"/>
          <w:sz w:val="24"/>
          <w:szCs w:val="24"/>
        </w:rPr>
        <w:t>D事务所</w:t>
      </w:r>
      <w:r>
        <w:rPr>
          <w:rFonts w:hint="eastAsia" w:ascii="宋体" w:hAnsi="宋体" w:eastAsia="宋体"/>
          <w:sz w:val="24"/>
          <w:szCs w:val="24"/>
        </w:rPr>
        <w:t>对振隆特产提供的出口销售合同存在异常情况下，未能予以充分关注与保持应有的职业怀疑；对境外客户执行的函证程序，未亲自发函，未</w:t>
      </w:r>
      <w:r>
        <w:rPr>
          <w:rFonts w:ascii="宋体" w:hAnsi="宋体" w:eastAsia="宋体"/>
          <w:sz w:val="24"/>
          <w:szCs w:val="24"/>
        </w:rPr>
        <w:t>对函证保持控制</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苏州胜利精密制造科技股份有限公司</w:t>
      </w:r>
      <w:r>
        <w:rPr>
          <w:rFonts w:ascii="宋体" w:hAnsi="宋体" w:eastAsia="宋体"/>
          <w:sz w:val="24"/>
          <w:szCs w:val="24"/>
        </w:rPr>
        <w:t>2016年至2018年</w:t>
      </w:r>
      <w:r>
        <w:rPr>
          <w:rFonts w:hint="eastAsia" w:ascii="宋体" w:hAnsi="宋体" w:eastAsia="宋体"/>
          <w:sz w:val="24"/>
          <w:szCs w:val="24"/>
        </w:rPr>
        <w:t>期间，</w:t>
      </w:r>
      <w:r>
        <w:rPr>
          <w:rFonts w:ascii="宋体" w:hAnsi="宋体" w:eastAsia="宋体"/>
          <w:sz w:val="24"/>
          <w:szCs w:val="24"/>
        </w:rPr>
        <w:t>通过虚开主营产品销售发票、虚假销售原材料等方式虚增收入</w:t>
      </w:r>
      <w:r>
        <w:rPr>
          <w:rFonts w:hint="eastAsia" w:ascii="宋体" w:hAnsi="宋体" w:eastAsia="宋体"/>
          <w:sz w:val="24"/>
          <w:szCs w:val="24"/>
        </w:rPr>
        <w:t>。</w:t>
      </w:r>
      <w:r>
        <w:rPr>
          <w:rFonts w:ascii="宋体" w:hAnsi="宋体" w:eastAsia="宋体"/>
          <w:sz w:val="24"/>
          <w:szCs w:val="24"/>
        </w:rPr>
        <w:t>E</w:t>
      </w:r>
      <w:r>
        <w:rPr>
          <w:rFonts w:hint="eastAsia" w:ascii="宋体" w:hAnsi="宋体" w:eastAsia="宋体"/>
          <w:sz w:val="24"/>
          <w:szCs w:val="24"/>
        </w:rPr>
        <w:t>会计师事务所</w:t>
      </w:r>
      <w:r>
        <w:rPr>
          <w:rFonts w:ascii="宋体" w:hAnsi="宋体" w:eastAsia="宋体"/>
          <w:sz w:val="24"/>
          <w:szCs w:val="24"/>
        </w:rPr>
        <w:t>(特殊普通合伙)</w:t>
      </w:r>
      <w:r>
        <w:rPr>
          <w:rFonts w:hint="eastAsia" w:ascii="宋体" w:hAnsi="宋体" w:eastAsia="宋体"/>
          <w:sz w:val="24"/>
          <w:szCs w:val="24"/>
        </w:rPr>
        <w:t>（</w:t>
      </w:r>
      <w:r>
        <w:rPr>
          <w:rFonts w:ascii="宋体" w:hAnsi="宋体" w:eastAsia="宋体"/>
          <w:sz w:val="24"/>
          <w:szCs w:val="24"/>
        </w:rPr>
        <w:t>以下简称E</w:t>
      </w:r>
      <w:r>
        <w:rPr>
          <w:rFonts w:hint="eastAsia" w:ascii="宋体" w:hAnsi="宋体" w:eastAsia="宋体"/>
          <w:sz w:val="24"/>
          <w:szCs w:val="24"/>
        </w:rPr>
        <w:t>事务所</w:t>
      </w:r>
      <w:r>
        <w:rPr>
          <w:rFonts w:ascii="宋体" w:hAnsi="宋体" w:eastAsia="宋体"/>
          <w:sz w:val="24"/>
          <w:szCs w:val="24"/>
        </w:rPr>
        <w:t>)</w:t>
      </w:r>
      <w:r>
        <w:rPr>
          <w:rFonts w:hint="eastAsia" w:ascii="宋体" w:hAnsi="宋体" w:eastAsia="宋体"/>
          <w:sz w:val="24"/>
          <w:szCs w:val="24"/>
        </w:rPr>
        <w:t>未能执行有效审计程序应对舞弊，主要原因包括：</w:t>
      </w:r>
      <w:r>
        <w:rPr>
          <w:rFonts w:ascii="宋体" w:hAnsi="宋体" w:eastAsia="宋体"/>
          <w:sz w:val="24"/>
          <w:szCs w:val="24"/>
        </w:rPr>
        <w:t>E</w:t>
      </w:r>
      <w:r>
        <w:rPr>
          <w:rFonts w:hint="eastAsia" w:ascii="宋体" w:hAnsi="宋体" w:eastAsia="宋体"/>
          <w:sz w:val="24"/>
          <w:szCs w:val="24"/>
        </w:rPr>
        <w:t>事务所执行客户函证程序过程中，未对询证函保持控制，未对经由被审计单位转交的客户</w:t>
      </w:r>
      <w:r>
        <w:rPr>
          <w:rFonts w:ascii="宋体" w:hAnsi="宋体" w:eastAsia="宋体"/>
          <w:sz w:val="24"/>
          <w:szCs w:val="24"/>
        </w:rPr>
        <w:t>回函</w:t>
      </w:r>
      <w:r>
        <w:rPr>
          <w:rFonts w:hint="eastAsia" w:ascii="宋体" w:hAnsi="宋体" w:eastAsia="宋体"/>
          <w:sz w:val="24"/>
          <w:szCs w:val="24"/>
        </w:rPr>
        <w:t>扫描件保持应有的职业怀疑；未充分关注应收账款回函率低与主要客户未回函情况所导致的审计风险，对未回函情况执行的</w:t>
      </w:r>
      <w:r>
        <w:rPr>
          <w:rFonts w:ascii="宋体" w:hAnsi="宋体" w:eastAsia="宋体"/>
          <w:sz w:val="24"/>
          <w:szCs w:val="24"/>
        </w:rPr>
        <w:t>替代性测试</w:t>
      </w:r>
      <w:r>
        <w:rPr>
          <w:rFonts w:hint="eastAsia" w:ascii="宋体" w:hAnsi="宋体" w:eastAsia="宋体"/>
          <w:sz w:val="24"/>
          <w:szCs w:val="24"/>
        </w:rPr>
        <w:t>程序不到位；未审慎检查收入确认会计凭证、销售订单、发票、送货单之间货物型号、价格、数量信息是否保持一致。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江苏雅百特科技股份有限公司（</w:t>
      </w:r>
      <w:r>
        <w:rPr>
          <w:rFonts w:ascii="宋体" w:hAnsi="宋体" w:eastAsia="宋体"/>
          <w:sz w:val="24"/>
          <w:szCs w:val="24"/>
        </w:rPr>
        <w:t>以下简称</w:t>
      </w:r>
      <w:r>
        <w:rPr>
          <w:rFonts w:hint="eastAsia" w:ascii="宋体" w:hAnsi="宋体" w:eastAsia="宋体"/>
          <w:sz w:val="24"/>
          <w:szCs w:val="24"/>
        </w:rPr>
        <w:t>雅百特</w:t>
      </w:r>
      <w:r>
        <w:rPr>
          <w:rFonts w:ascii="宋体" w:hAnsi="宋体" w:eastAsia="宋体"/>
          <w:sz w:val="24"/>
          <w:szCs w:val="24"/>
        </w:rPr>
        <w:t>)2015年至2016年</w:t>
      </w:r>
      <w:r>
        <w:rPr>
          <w:rFonts w:hint="eastAsia" w:ascii="宋体" w:hAnsi="宋体" w:eastAsia="宋体"/>
          <w:sz w:val="24"/>
          <w:szCs w:val="24"/>
        </w:rPr>
        <w:t>期间，利用其控制的公司，签订虚假建材采购与销售合同，伪造货物出入库凭证，通过部分销售客户银行账户并向其支付资金通道费方式，虚构资金流转闭环，虚构国内建材贸易虚增收入。</w:t>
      </w:r>
      <w:r>
        <w:rPr>
          <w:rFonts w:ascii="宋体" w:hAnsi="宋体" w:eastAsia="宋体"/>
          <w:sz w:val="24"/>
          <w:szCs w:val="24"/>
        </w:rPr>
        <w:t>F</w:t>
      </w:r>
      <w:r>
        <w:rPr>
          <w:rFonts w:hint="eastAsia" w:ascii="宋体" w:hAnsi="宋体" w:eastAsia="宋体"/>
          <w:sz w:val="24"/>
          <w:szCs w:val="24"/>
        </w:rPr>
        <w:t>会计师事务所（特殊普通合伙）（以下简称</w:t>
      </w:r>
      <w:r>
        <w:rPr>
          <w:rFonts w:ascii="宋体" w:hAnsi="宋体" w:eastAsia="宋体"/>
          <w:sz w:val="24"/>
          <w:szCs w:val="24"/>
        </w:rPr>
        <w:t>F</w:t>
      </w:r>
      <w:r>
        <w:rPr>
          <w:rFonts w:hint="eastAsia" w:ascii="宋体" w:hAnsi="宋体" w:eastAsia="宋体"/>
          <w:sz w:val="24"/>
          <w:szCs w:val="24"/>
        </w:rPr>
        <w:t>事务所）未能执行有效审计程序应对舞弊，主要原因包括：</w:t>
      </w:r>
      <w:r>
        <w:rPr>
          <w:rFonts w:ascii="宋体" w:hAnsi="宋体" w:eastAsia="宋体"/>
          <w:sz w:val="24"/>
          <w:szCs w:val="24"/>
        </w:rPr>
        <w:t>F</w:t>
      </w:r>
      <w:r>
        <w:rPr>
          <w:rFonts w:hint="eastAsia" w:ascii="宋体" w:hAnsi="宋体" w:eastAsia="宋体"/>
          <w:sz w:val="24"/>
          <w:szCs w:val="24"/>
        </w:rPr>
        <w:t>事务所对雅百特国内建材销售收入在不同会计期间出现异常增长的情况未予以充分关注，对雅百特将收入分类变更，导致财务数据在不同会计期间失去可比性的情况，未予以充分关注，未对变更原因获取合理解释；未审慎核查建材购销合同、出入库单据等证据，对合同仅加盖双方公章，缺少签字人和签署时间，加盖的销售客户公章前后不同，发货确认单存在同一收货人签字笔迹前后不一致的异常情况，未保持必要的职业怀疑，未实施进一步程序以核实交易的真实性。</w:t>
      </w:r>
    </w:p>
    <w:p>
      <w:pPr>
        <w:spacing w:line="360" w:lineRule="auto"/>
        <w:ind w:firstLine="504"/>
        <w:rPr>
          <w:rFonts w:ascii="宋体" w:hAnsi="宋体" w:eastAsia="宋体"/>
          <w:sz w:val="24"/>
          <w:szCs w:val="24"/>
        </w:rPr>
      </w:pPr>
      <w:r>
        <w:rPr>
          <w:rFonts w:hint="eastAsia" w:ascii="宋体" w:hAnsi="宋体" w:eastAsia="宋体"/>
          <w:sz w:val="24"/>
          <w:szCs w:val="24"/>
        </w:rPr>
        <w:t>综观近年以来发生的收入舞弊案件，企业主要通过虚构销售业务交易、虚增销售合同单价与销售毛利率、提前确认收入等方式虚增收入，同时辅以利用或冒用上、下游合作伙伴名义以及未披露隐性关联方协助或虚构交易，伪造采购、生产、库存管理、物流运输、销售交易系列业务单据，虚构购销资金流转闭环，伪造银行单据或制作虚假记账凭证以虚构银行存款等舞弊手段，舞弊手法从会计操纵拓展到交易造假，舞弊手段趋向全流程、全链条式的闭环系统性操作，同步虚构与匹配业务流、实物流与资金流，呈现出从单纯的利润表与资产负债表操纵，向全套财务报表联动操纵的趋势。</w:t>
      </w:r>
    </w:p>
    <w:p>
      <w:pPr>
        <w:spacing w:line="360" w:lineRule="auto"/>
        <w:ind w:firstLine="504"/>
        <w:rPr>
          <w:rFonts w:ascii="宋体" w:hAnsi="宋体" w:eastAsia="宋体"/>
          <w:sz w:val="24"/>
          <w:szCs w:val="24"/>
        </w:rPr>
      </w:pPr>
      <w:r>
        <w:rPr>
          <w:rFonts w:hint="eastAsia" w:ascii="宋体" w:hAnsi="宋体" w:eastAsia="宋体"/>
          <w:sz w:val="24"/>
          <w:szCs w:val="24"/>
        </w:rPr>
        <w:t>对已发生的系列上市公司收入舞弊案件，相关会计师事务所与注册会计师未能及时有效发现被审计单位虚构销售交易、虚假确认收入等舞弊情况，未能获取充分而恰当的审计证据，最终发表不恰当的审计意见，主要原因包括：一是对常规基础性程序未执行到位，未保持合理的职业怀疑态度，未做到勤勉尽责，譬如风险识别与评估程序执行不到位、对销售业务流程内部控制测试程序存在重大缺陷、与销售收入、应收账款、货币资金等重大账户相关的实质性审计程序执行不到位。二是未延伸执行反舞弊审计特定程序，针</w:t>
      </w:r>
      <w:r>
        <w:rPr>
          <w:rFonts w:ascii="宋体" w:hAnsi="宋体" w:eastAsia="宋体"/>
          <w:sz w:val="24"/>
          <w:szCs w:val="24"/>
        </w:rPr>
        <w:t>对财务舞弊易发高发领域，未对财务舞弊风险因素保持足够警觉，也未对相应风险点设计与执行有针对性的特定审计程序，如未对新客户与</w:t>
      </w:r>
      <w:r>
        <w:rPr>
          <w:rFonts w:hint="eastAsia" w:ascii="宋体" w:hAnsi="宋体" w:eastAsia="宋体"/>
          <w:sz w:val="24"/>
          <w:szCs w:val="24"/>
        </w:rPr>
        <w:t>供应商、</w:t>
      </w:r>
      <w:r>
        <w:rPr>
          <w:rFonts w:ascii="宋体" w:hAnsi="宋体" w:eastAsia="宋体"/>
          <w:sz w:val="24"/>
          <w:szCs w:val="24"/>
        </w:rPr>
        <w:t>重大客户</w:t>
      </w:r>
      <w:r>
        <w:rPr>
          <w:rFonts w:hint="eastAsia" w:ascii="宋体" w:hAnsi="宋体" w:eastAsia="宋体"/>
          <w:sz w:val="24"/>
          <w:szCs w:val="24"/>
        </w:rPr>
        <w:t>与供应商</w:t>
      </w:r>
      <w:r>
        <w:rPr>
          <w:rFonts w:ascii="宋体" w:hAnsi="宋体" w:eastAsia="宋体"/>
          <w:sz w:val="24"/>
          <w:szCs w:val="24"/>
        </w:rPr>
        <w:t>开展背景调查与实地走访调查，以充分关注其经营实力与履约能力；未对银行交易资金流水执行核查等。</w:t>
      </w:r>
    </w:p>
    <w:p>
      <w:pPr>
        <w:pStyle w:val="2"/>
      </w:pPr>
      <w:bookmarkStart w:id="135" w:name="_Toc161346785"/>
      <w:r>
        <w:rPr>
          <w:rFonts w:hint="eastAsia"/>
        </w:rPr>
        <w:t>三、</w:t>
      </w:r>
      <w:r>
        <w:t>应对</w:t>
      </w:r>
      <w:r>
        <w:rPr>
          <w:rFonts w:hint="eastAsia"/>
        </w:rPr>
        <w:t>制造业企业</w:t>
      </w:r>
      <w:r>
        <w:t>收入舞弊</w:t>
      </w:r>
      <w:r>
        <w:rPr>
          <w:rFonts w:hint="eastAsia"/>
        </w:rPr>
        <w:t>的</w:t>
      </w:r>
      <w:r>
        <w:t>审计程序</w:t>
      </w:r>
      <w:bookmarkEnd w:id="135"/>
    </w:p>
    <w:p>
      <w:pPr>
        <w:pStyle w:val="3"/>
      </w:pPr>
      <w:bookmarkStart w:id="136" w:name="_Toc155286751"/>
      <w:bookmarkEnd w:id="136"/>
      <w:bookmarkStart w:id="137" w:name="_Toc153962933"/>
      <w:bookmarkEnd w:id="137"/>
      <w:bookmarkStart w:id="138" w:name="_Toc154133369"/>
      <w:bookmarkEnd w:id="138"/>
      <w:bookmarkStart w:id="139" w:name="_Toc154129443"/>
      <w:bookmarkEnd w:id="139"/>
      <w:bookmarkStart w:id="140" w:name="_Toc154133382"/>
      <w:bookmarkEnd w:id="140"/>
      <w:bookmarkStart w:id="141" w:name="_Toc161346786"/>
      <w:r>
        <w:rPr>
          <w:rFonts w:hint="eastAsia"/>
        </w:rPr>
        <w:t>(一</w:t>
      </w:r>
      <w:r>
        <w:t>)</w:t>
      </w:r>
      <w:r>
        <w:rPr>
          <w:rFonts w:hint="eastAsia"/>
        </w:rPr>
        <w:t>常规基础性审计程序</w:t>
      </w:r>
      <w:bookmarkEnd w:id="141"/>
    </w:p>
    <w:p>
      <w:pPr>
        <w:spacing w:line="360" w:lineRule="auto"/>
        <w:ind w:firstLine="504"/>
        <w:rPr>
          <w:rFonts w:ascii="宋体" w:hAnsi="宋体" w:eastAsia="宋体"/>
          <w:sz w:val="24"/>
          <w:szCs w:val="24"/>
        </w:rPr>
      </w:pPr>
      <w:r>
        <w:rPr>
          <w:rFonts w:hint="eastAsia" w:ascii="宋体" w:hAnsi="宋体" w:eastAsia="宋体"/>
          <w:sz w:val="24"/>
          <w:szCs w:val="24"/>
        </w:rPr>
        <w:t>针对上述案件以及近年以来制造业上市公司发生的系列财务舞弊案件，注册会计师在执行收入相关常规基础性审计程序同时，需进一步强化应对收入舞弊的针对性审计程序。在审计过程中时刻保持合理的职业怀疑态度，对财务舞弊等风险因素保持警觉，根据制造业企业经营业务、所属细分行业等实际情况，设计及执行有效的应对财务舞弊风险的审计程序，防范执业风险。为有效应对管理层虚构销售交易，虚假确认收入的财务舞弊，注册会计师对收入项目需严格执行如下第</w:t>
      </w:r>
      <w:r>
        <w:rPr>
          <w:rFonts w:ascii="宋体" w:hAnsi="宋体" w:eastAsia="宋体"/>
          <w:sz w:val="24"/>
          <w:szCs w:val="24"/>
        </w:rPr>
        <w:t>1至10项</w:t>
      </w:r>
      <w:r>
        <w:rPr>
          <w:rFonts w:hint="eastAsia" w:ascii="宋体" w:hAnsi="宋体" w:eastAsia="宋体"/>
          <w:sz w:val="24"/>
          <w:szCs w:val="24"/>
        </w:rPr>
        <w:t>常规</w:t>
      </w:r>
      <w:r>
        <w:rPr>
          <w:rFonts w:ascii="宋体" w:hAnsi="宋体" w:eastAsia="宋体"/>
          <w:sz w:val="24"/>
          <w:szCs w:val="24"/>
        </w:rPr>
        <w:t>基础</w:t>
      </w:r>
      <w:r>
        <w:rPr>
          <w:rFonts w:hint="eastAsia" w:ascii="宋体" w:hAnsi="宋体" w:eastAsia="宋体"/>
          <w:sz w:val="24"/>
          <w:szCs w:val="24"/>
        </w:rPr>
        <w:t>性</w:t>
      </w:r>
      <w:r>
        <w:rPr>
          <w:rFonts w:ascii="宋体" w:hAnsi="宋体" w:eastAsia="宋体"/>
          <w:sz w:val="24"/>
          <w:szCs w:val="24"/>
        </w:rPr>
        <w:t>审计程序</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实施风险评估程序，基于对被审计单位生产经营的基本情况、销售业务模式和业务流程、与收入相关的生产技术条件、收入的来源和构成、收入交易的特性、收入确认的具体方法、与收入确认相关的信息系统、所处行业的基本情况和特殊事项、上下游行业的景气度、重大异常交易的商业理由、被审计单位的业绩考核、管理层的经营理念、内部控制、财务报表项目的内在联系等的综合理解，考虑被审计单位可能发生舞弊的方式和领域，以及管理层可能采用的舞弊手段，从而有效识别与收入确认相关的舞弊风险，并设计恰当审计程序予以应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对与收入确认相关的业务系统和财务系统，完整执行信息系统一般控制和应用控制评价与测试，必要时由信息系统人员参与评价和测试。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检查销售交易合同，了解与分析主要合同条款，评价被审计单位与收入确认相关的会计政策是否适当，与同行业公司使用的会计政策是否一致；关注商业背景真实性与交易目的合理性、销售模式的合理性和交易价格的公允性；关注履约义务的识别、交易价格的确定（包括可变对价的估计及其限制）、交易价格的分摊（包括单独售价的确定）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严格执行针对收入的分析程序，关注毛利率明显偏离行业平均水平或不同期间波动较大，应收账款余额、存货周转率、销售运输费用与收入变化趋势联动异常，经营活动现金流量与收入不匹配等异常情况。</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加强对收入财务数据与业务运营数据按照月份、季度、地区、客户、销售渠道、产品线等多维度的比较分析，对收入财务信息与投入产出率、劳动生产率、产能、水电气能耗、包装材料耗用数量、仓库租赁面积等非财务信息之间的比较分析，有效识别异常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严格实施收入截止测试，关注收入是否计入恰当的期间，复核重要合同的重要条款，关注是否存在通过高估履约进度，或将单项履约义务的销售交易拆分为多项履约义务实现提前确认收入，以及通过将多项履约义务合并为单项履约义务延迟确认收入的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检查临近期末执行的重要销售合同，关注是否存在异常的定价、结算、发货、退货、换货或验收条款，关注期后是否存在退货以及改变或撤销合同条款的情况，检查资产负债表日以后被审计单位开出的贷项通知单和对应收账款的其他调整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结合销售合同中与收款、验收相关的主要条款，对应收款项账龄长、回款率低或缺乏还款能力的客户，分析</w:t>
      </w:r>
      <w:r>
        <w:rPr>
          <w:rFonts w:ascii="宋体" w:hAnsi="宋体" w:eastAsia="宋体"/>
          <w:sz w:val="24"/>
          <w:szCs w:val="24"/>
        </w:rPr>
        <w:t>被审计单位</w:t>
      </w:r>
      <w:r>
        <w:rPr>
          <w:rFonts w:hint="eastAsia" w:ascii="宋体" w:hAnsi="宋体" w:eastAsia="宋体"/>
          <w:sz w:val="24"/>
          <w:szCs w:val="24"/>
        </w:rPr>
        <w:t>仍放宽信用政策，</w:t>
      </w:r>
      <w:r>
        <w:rPr>
          <w:rFonts w:ascii="宋体" w:hAnsi="宋体" w:eastAsia="宋体"/>
          <w:sz w:val="24"/>
          <w:szCs w:val="24"/>
        </w:rPr>
        <w:t>仍向其进行销</w:t>
      </w:r>
      <w:r>
        <w:rPr>
          <w:rFonts w:hint="eastAsia" w:ascii="宋体" w:hAnsi="宋体" w:eastAsia="宋体"/>
          <w:sz w:val="24"/>
          <w:szCs w:val="24"/>
        </w:rPr>
        <w:t>售的合理性和真实性，评价应收账款账龄与预期信用损失计算的合理性，复核应收账款计提坏账准备的准确性，检查计提方法是否按照坏账政策执行。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w:t>
      </w:r>
      <w:r>
        <w:rPr>
          <w:rFonts w:hint="eastAsia" w:ascii="宋体" w:hAnsi="宋体" w:eastAsia="宋体"/>
          <w:sz w:val="24"/>
          <w:szCs w:val="24"/>
        </w:rPr>
        <w:t>选择当年交易金额重大的客户、年末合同资产或应收账款余额重大的客户，严格执行函证程序，保持对函证全过程的控制，恰当评价回函可靠性，深入调查不符事项或函证程序中发现的异常情况。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0.结合</w:t>
      </w:r>
      <w:r>
        <w:rPr>
          <w:rFonts w:hint="eastAsia" w:ascii="宋体" w:hAnsi="宋体" w:eastAsia="宋体"/>
          <w:sz w:val="24"/>
          <w:szCs w:val="24"/>
        </w:rPr>
        <w:t>对预付款项、</w:t>
      </w:r>
      <w:r>
        <w:rPr>
          <w:rFonts w:ascii="宋体" w:hAnsi="宋体" w:eastAsia="宋体"/>
          <w:sz w:val="24"/>
          <w:szCs w:val="24"/>
        </w:rPr>
        <w:t>固定资产、在建工程、无形资产、开发支出等资产</w:t>
      </w:r>
      <w:r>
        <w:rPr>
          <w:rFonts w:hint="eastAsia" w:ascii="宋体" w:hAnsi="宋体" w:eastAsia="宋体"/>
          <w:sz w:val="24"/>
          <w:szCs w:val="24"/>
        </w:rPr>
        <w:t>项目所执行的</w:t>
      </w:r>
      <w:r>
        <w:rPr>
          <w:rFonts w:ascii="宋体" w:hAnsi="宋体" w:eastAsia="宋体"/>
          <w:sz w:val="24"/>
          <w:szCs w:val="24"/>
        </w:rPr>
        <w:t>审计</w:t>
      </w:r>
      <w:r>
        <w:rPr>
          <w:rFonts w:hint="eastAsia" w:ascii="宋体" w:hAnsi="宋体" w:eastAsia="宋体"/>
          <w:sz w:val="24"/>
          <w:szCs w:val="24"/>
        </w:rPr>
        <w:t>程序</w:t>
      </w:r>
      <w:r>
        <w:rPr>
          <w:rFonts w:ascii="宋体" w:hAnsi="宋体" w:eastAsia="宋体"/>
          <w:sz w:val="24"/>
          <w:szCs w:val="24"/>
        </w:rPr>
        <w:t>，</w:t>
      </w:r>
      <w:r>
        <w:rPr>
          <w:rFonts w:hint="eastAsia" w:ascii="宋体" w:hAnsi="宋体" w:eastAsia="宋体"/>
          <w:sz w:val="24"/>
          <w:szCs w:val="24"/>
        </w:rPr>
        <w:t>重点关注</w:t>
      </w:r>
      <w:r>
        <w:rPr>
          <w:rFonts w:ascii="宋体" w:hAnsi="宋体" w:eastAsia="宋体"/>
          <w:sz w:val="24"/>
          <w:szCs w:val="24"/>
        </w:rPr>
        <w:t>被审计单位</w:t>
      </w:r>
      <w:r>
        <w:rPr>
          <w:rFonts w:hint="eastAsia" w:ascii="宋体" w:hAnsi="宋体" w:eastAsia="宋体"/>
          <w:sz w:val="24"/>
          <w:szCs w:val="24"/>
        </w:rPr>
        <w:t>是否存在长期挂账的大额预付款项（如预付商品采购款、预付工程设备款、预付软件系统开发款等）、非正常停工或长期未完工的工程项目、非正常停止或长期未完成的研发项目、与企业整体生产经营规划不符或与预算不符的异常资产购建项目的情况，分析与判断相关商业交易安排的合理性，对</w:t>
      </w:r>
      <w:r>
        <w:rPr>
          <w:rFonts w:ascii="宋体" w:hAnsi="宋体" w:eastAsia="宋体"/>
          <w:sz w:val="24"/>
          <w:szCs w:val="24"/>
        </w:rPr>
        <w:t>被审计单位是否存在</w:t>
      </w:r>
      <w:r>
        <w:rPr>
          <w:rFonts w:hint="eastAsia" w:ascii="宋体" w:hAnsi="宋体" w:eastAsia="宋体"/>
          <w:sz w:val="24"/>
          <w:szCs w:val="24"/>
        </w:rPr>
        <w:t>通过</w:t>
      </w:r>
      <w:r>
        <w:rPr>
          <w:rFonts w:ascii="宋体" w:hAnsi="宋体" w:eastAsia="宋体"/>
          <w:sz w:val="24"/>
          <w:szCs w:val="24"/>
        </w:rPr>
        <w:t>虚增采购金额</w:t>
      </w:r>
      <w:r>
        <w:rPr>
          <w:rFonts w:hint="eastAsia" w:ascii="宋体" w:hAnsi="宋体" w:eastAsia="宋体"/>
          <w:sz w:val="24"/>
          <w:szCs w:val="24"/>
        </w:rPr>
        <w:t>方式</w:t>
      </w:r>
      <w:r>
        <w:rPr>
          <w:rFonts w:ascii="宋体" w:hAnsi="宋体" w:eastAsia="宋体"/>
          <w:sz w:val="24"/>
          <w:szCs w:val="24"/>
        </w:rPr>
        <w:t>套取</w:t>
      </w:r>
      <w:r>
        <w:rPr>
          <w:rFonts w:hint="eastAsia" w:ascii="宋体" w:hAnsi="宋体" w:eastAsia="宋体"/>
          <w:sz w:val="24"/>
          <w:szCs w:val="24"/>
        </w:rPr>
        <w:t>自有</w:t>
      </w:r>
      <w:r>
        <w:rPr>
          <w:rFonts w:ascii="宋体" w:hAnsi="宋体" w:eastAsia="宋体"/>
          <w:sz w:val="24"/>
          <w:szCs w:val="24"/>
        </w:rPr>
        <w:t>资金</w:t>
      </w:r>
      <w:r>
        <w:rPr>
          <w:rFonts w:hint="eastAsia" w:ascii="宋体" w:hAnsi="宋体" w:eastAsia="宋体"/>
          <w:sz w:val="24"/>
          <w:szCs w:val="24"/>
        </w:rPr>
        <w:t>，最终实现虚假销售货款回笼</w:t>
      </w:r>
      <w:r>
        <w:rPr>
          <w:rFonts w:ascii="宋体" w:hAnsi="宋体" w:eastAsia="宋体"/>
          <w:sz w:val="24"/>
          <w:szCs w:val="24"/>
        </w:rPr>
        <w:t>的</w:t>
      </w:r>
      <w:r>
        <w:rPr>
          <w:rFonts w:hint="eastAsia" w:ascii="宋体" w:hAnsi="宋体" w:eastAsia="宋体"/>
          <w:sz w:val="24"/>
          <w:szCs w:val="24"/>
        </w:rPr>
        <w:t>体外资金循环保持警觉</w:t>
      </w:r>
      <w:r>
        <w:rPr>
          <w:rFonts w:ascii="宋体" w:hAnsi="宋体" w:eastAsia="宋体"/>
          <w:sz w:val="24"/>
          <w:szCs w:val="24"/>
        </w:rPr>
        <w:t>。</w:t>
      </w:r>
    </w:p>
    <w:p>
      <w:pPr>
        <w:pStyle w:val="3"/>
      </w:pPr>
      <w:bookmarkStart w:id="142" w:name="_Toc161346787"/>
      <w:r>
        <w:rPr>
          <w:rFonts w:hint="eastAsia"/>
        </w:rPr>
        <w:t>(二)延伸实施的反舞弊审计特定程序</w:t>
      </w:r>
      <w:bookmarkEnd w:id="142"/>
    </w:p>
    <w:p>
      <w:pPr>
        <w:spacing w:line="360" w:lineRule="auto"/>
        <w:ind w:firstLine="480" w:firstLineChars="200"/>
        <w:rPr>
          <w:szCs w:val="24"/>
        </w:rPr>
      </w:pPr>
      <w:r>
        <w:rPr>
          <w:rFonts w:hint="eastAsia" w:ascii="宋体" w:hAnsi="宋体" w:eastAsia="宋体"/>
          <w:sz w:val="24"/>
          <w:szCs w:val="24"/>
        </w:rPr>
        <w:t>对制造业企业收入项目审计，除严格执行上述常规基础性审计程序外，注册会计师应结合企业实际情况和已识别出的异常情况，因地制宜地延伸实施如下第1至5项反舞弊审计特定程序，以确保审计质量，履行好“看门人”的职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对重要客户、供应商等交易对手执行背景调查与实地走访调查，以确认商业交易安排的合理性，资金资产交易的真实性。注册会计师应关注双方交易规模、性质与频率是否与交易对方的日常经营范围、生产经营规模与能力存在明显不匹配的异常情况，关注销售模式的合理性、交易价格的公允性与交易金额上限审批的内部控制有效性，关注是否存在通过以显失公允的交易条款与对方进行交易，评估交易对方与企业的关系，以识别是否存在关联交易非关联化，或与隐藏关联方或特定第三方串通舞弊进行虚假交易或侵占被审计单位资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执行背景调查时，注册会计师应将重要客户与供应商的股东情况、注册时间、注册地址、办公地址、网站地址、邮箱域名、注册登记的联系人及其电话和邮箱等信息与被审计单位的相关信息进行比对；将交易对方的法定代表人、董事、高级管理人员与被审计单位实际控制人、董事、监事、高级管理人员的名单进行比对；对当期新增重要客户和供应商，考虑被审计单位与客户和供应商的首次交易时间是否与其注册成立时间重合或接近，以考虑客户和供应商是否仅为与被审计单位开展交易而专门设立；询问直接参与交易的基层员工，以了解相关交易的执行情况是否与被审计单位管理层提供的信息一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执行实地走访调查时，注册会计师应注意观察交易对方的经营场所、货物进出情况，现场询问相关人员，以了解该交易对方与被审计单位的交易详情。例如，询问交易对方的业务人员，了解交易对方与被审计单位开展业务的商业理由，是否与被审计单位存在关联方关系，基于交易对方日常的主营业务、员工人数和规模等情况，分析判断其是否与被审计单位开展的业务相匹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对货款收回与支付，执行银行账户资金流水核查，以确认商业交易安排的合理性，资金交易的真实性。选择主要客户与供应商，获取被审计单位当期及期后银行账户收款、付款明细账，抽样选取资金收付款交易，在确保获取相关银行账户网银资金流水数据或纸质版银行流水单过程无瑕疵的基础上，进一步核对至相关资金流水信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资金流水核查过程中，注册会计师需关注资金付款方、收款方是否与所确认应收应付款项的客户、供应商一致，是否存在通过第三方账户，包括员工账户和其他个人账户收款、付款的情况。若存在第三方收付款情况，注册会计师需进一步了解原因，并就交易安排的合理性与真实性做进一步核实分析。注册会计师需关注银行回单所记载交易内容摘要，是否与对应购销交易业务内容相符，是否存在利用无商业实质的购销交易业务进行资金占用的情况；需关注资金收付款的结算频率与周期，是否与合同结算条款、双方约定的赊销、赊购信用政策等规定相符；需关注是否存在异常的资金流动情况，包括是否存在缺少具体业务支持或与交易金额不相匹配的大额资金收付、一收一付金额相同、相同金额的多次转入转出、收款人和付款人为同一方等异常资金流水。</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合外部金税系统信息，核查被审计单位会计账上确认的购销交易金额数据，以确认购销交易的真实性。针对重要客户与供应商，从金税系统中无瑕疵下载相关被审计单位开具增值税销项税发票明细记录、收到增值税进项税发票的认证与抵扣明细记录；将被审计单位在会计账上确认的全年销售与采购交易发生金额，与金税系统中购销金额数据进行比较，若存在差异，调查与分析差异金额的合理性。同时，关注被审计单位存在的大额未开票销售交易，调查与分析未及时开具发票原因的合理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对于被审计单位采用经销商销售模式，注册会计师需要综合运用背景调查、实地走访、发询证函、检查支持性凭证、与可比上市公司进行比较分析、分析经销商布局的合理性与稳定性、检查与分析经销商终端销售与期末库存情况等多种核查手段，以确认主要的经销商与被审计单位之间是否存在关联方关系，被审计单位与经销商之间商业交易安排的合理性，销售交易是否满足收入确认的条件，进一步追踪货物从经销商到终端客户的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对于被审计单位经营出口销售业务，注册会计师除执行合同检查、收入分析、函证、截止性测试、汇兑损益与出口退税发生金额复核测试系列常规基础性审计程序外，需进一步核查企业海关出口数据与物流运输记录等，在海关官方网站中查验报关单的真实性，在货运与货运代理公司官方网站中查验运输单据的真实性，并将报关单和运输单据中反映的货物出口报关与运输信息，核对至被审计单位记载的货物出口销售信息，以确认出口销售交易的真实性和交易发生金额的正确性。</w:t>
      </w:r>
    </w:p>
    <w:p>
      <w:pPr>
        <w:pStyle w:val="2"/>
      </w:pPr>
      <w:bookmarkStart w:id="143" w:name="_Toc161346788"/>
      <w:r>
        <w:rPr>
          <w:rFonts w:hint="eastAsia"/>
        </w:rPr>
        <w:t>四、延伸实施的反</w:t>
      </w:r>
      <w:r>
        <w:t>舞弊审计</w:t>
      </w:r>
      <w:r>
        <w:rPr>
          <w:rFonts w:hint="eastAsia"/>
        </w:rPr>
        <w:t>特定</w:t>
      </w:r>
      <w:r>
        <w:t>程序工作底稿示例</w:t>
      </w:r>
      <w:bookmarkEnd w:id="143"/>
    </w:p>
    <w:p>
      <w:pPr>
        <w:spacing w:line="360" w:lineRule="auto"/>
        <w:ind w:firstLine="504"/>
        <w:rPr>
          <w:rFonts w:ascii="宋体" w:hAnsi="宋体" w:eastAsia="宋体"/>
          <w:sz w:val="24"/>
          <w:szCs w:val="24"/>
        </w:rPr>
      </w:pPr>
      <w:r>
        <w:rPr>
          <w:rFonts w:hint="eastAsia" w:ascii="宋体" w:hAnsi="宋体" w:eastAsia="宋体"/>
          <w:sz w:val="24"/>
          <w:szCs w:val="24"/>
        </w:rPr>
        <w:t>在前述应对制造业企业收入舞弊审计程序中，考虑到注册会计师已对第</w:t>
      </w:r>
      <w:r>
        <w:rPr>
          <w:rFonts w:ascii="宋体" w:hAnsi="宋体" w:eastAsia="宋体"/>
          <w:sz w:val="24"/>
          <w:szCs w:val="24"/>
        </w:rPr>
        <w:t>1至10项</w:t>
      </w:r>
      <w:r>
        <w:rPr>
          <w:rFonts w:hint="eastAsia" w:ascii="宋体" w:hAnsi="宋体" w:eastAsia="宋体"/>
          <w:sz w:val="24"/>
          <w:szCs w:val="24"/>
        </w:rPr>
        <w:t>常规</w:t>
      </w:r>
      <w:r>
        <w:rPr>
          <w:rFonts w:ascii="宋体" w:hAnsi="宋体" w:eastAsia="宋体"/>
          <w:sz w:val="24"/>
          <w:szCs w:val="24"/>
        </w:rPr>
        <w:t>基础</w:t>
      </w:r>
      <w:r>
        <w:rPr>
          <w:rFonts w:hint="eastAsia" w:ascii="宋体" w:hAnsi="宋体" w:eastAsia="宋体"/>
          <w:sz w:val="24"/>
          <w:szCs w:val="24"/>
        </w:rPr>
        <w:t>性</w:t>
      </w:r>
      <w:r>
        <w:rPr>
          <w:rFonts w:ascii="宋体" w:hAnsi="宋体" w:eastAsia="宋体"/>
          <w:sz w:val="24"/>
          <w:szCs w:val="24"/>
        </w:rPr>
        <w:t>审计程序有深入理解，且已在实务中广泛应用，在此不再具体编制工作底稿示例予以说明。本文</w:t>
      </w:r>
      <w:r>
        <w:rPr>
          <w:rFonts w:hint="eastAsia" w:ascii="宋体" w:hAnsi="宋体" w:eastAsia="宋体"/>
          <w:sz w:val="24"/>
          <w:szCs w:val="24"/>
        </w:rPr>
        <w:t>（指引）</w:t>
      </w:r>
      <w:r>
        <w:rPr>
          <w:rFonts w:ascii="宋体" w:hAnsi="宋体" w:eastAsia="宋体"/>
          <w:sz w:val="24"/>
          <w:szCs w:val="24"/>
        </w:rPr>
        <w:t>侧重围绕应对收入舞弊</w:t>
      </w:r>
      <w:r>
        <w:rPr>
          <w:rFonts w:hint="eastAsia" w:ascii="宋体" w:hAnsi="宋体" w:eastAsia="宋体"/>
          <w:sz w:val="24"/>
          <w:szCs w:val="24"/>
        </w:rPr>
        <w:t>延伸实施</w:t>
      </w:r>
      <w:r>
        <w:rPr>
          <w:rFonts w:ascii="宋体" w:hAnsi="宋体" w:eastAsia="宋体"/>
          <w:sz w:val="24"/>
          <w:szCs w:val="24"/>
        </w:rPr>
        <w:t>的特定审计程序</w:t>
      </w:r>
      <w:r>
        <w:rPr>
          <w:rFonts w:hint="eastAsia" w:ascii="宋体" w:hAnsi="宋体" w:eastAsia="宋体"/>
          <w:sz w:val="24"/>
          <w:szCs w:val="24"/>
        </w:rPr>
        <w:t>，编制具体工作底稿示例，作为执行程序的实务指引参考。工作底稿示例中，分别按每一项特定审计程序的总体测试目标、具体测试内容、每一个测试步骤及相应具体操作示例、测试结果及结论等四个方面逐一说明。同时，在每一个测试步骤及相应具体操作示例部分，提请注册会计师在执行程序过程中，需要特别留意的事项与关键点。</w:t>
      </w:r>
    </w:p>
    <w:p>
      <w:pPr>
        <w:spacing w:line="360" w:lineRule="auto"/>
        <w:ind w:firstLine="504"/>
        <w:rPr>
          <w:rFonts w:ascii="宋体" w:hAnsi="宋体" w:eastAsia="宋体"/>
          <w:sz w:val="24"/>
          <w:szCs w:val="24"/>
        </w:rPr>
      </w:pPr>
      <w:r>
        <w:rPr>
          <w:rFonts w:hint="eastAsia" w:ascii="宋体" w:hAnsi="宋体" w:eastAsia="宋体"/>
          <w:sz w:val="24"/>
          <w:szCs w:val="24"/>
        </w:rPr>
        <w:t>具体工作底稿示例，详见本实务应用指引附件一：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关于第</w:t>
      </w:r>
      <w:r>
        <w:rPr>
          <w:rFonts w:ascii="宋体" w:hAnsi="宋体" w:eastAsia="宋体"/>
          <w:sz w:val="24"/>
          <w:szCs w:val="24"/>
        </w:rPr>
        <w:t>1项</w:t>
      </w:r>
      <w:r>
        <w:rPr>
          <w:rFonts w:hint="eastAsia" w:ascii="宋体" w:hAnsi="宋体" w:eastAsia="宋体"/>
          <w:sz w:val="24"/>
          <w:szCs w:val="24"/>
        </w:rPr>
        <w:t>特定审计程序，具体工作底稿示例详见本实务应用指引附件一</w:t>
      </w:r>
      <w:r>
        <w:rPr>
          <w:rFonts w:ascii="宋体" w:hAnsi="宋体" w:eastAsia="宋体"/>
          <w:sz w:val="24"/>
          <w:szCs w:val="24"/>
        </w:rPr>
        <w:t>&lt;</w:t>
      </w:r>
      <w:r>
        <w:rPr>
          <w:rFonts w:hint="eastAsia" w:ascii="宋体" w:hAnsi="宋体" w:eastAsia="宋体"/>
          <w:sz w:val="24"/>
          <w:szCs w:val="24"/>
        </w:rPr>
        <w:t>特定审计程序</w:t>
      </w:r>
      <w:r>
        <w:rPr>
          <w:rFonts w:ascii="宋体" w:hAnsi="宋体" w:eastAsia="宋体"/>
          <w:sz w:val="24"/>
          <w:szCs w:val="24"/>
        </w:rPr>
        <w:t>1-1A、1-1B与1-2&gt;</w:t>
      </w:r>
      <w:r>
        <w:rPr>
          <w:rFonts w:hint="eastAsia" w:ascii="宋体" w:hAnsi="宋体" w:eastAsia="宋体"/>
          <w:sz w:val="24"/>
          <w:szCs w:val="24"/>
        </w:rPr>
        <w:t>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关于第</w:t>
      </w:r>
      <w:r>
        <w:rPr>
          <w:rFonts w:ascii="宋体" w:hAnsi="宋体" w:eastAsia="宋体"/>
          <w:sz w:val="24"/>
          <w:szCs w:val="24"/>
        </w:rPr>
        <w:t>2项</w:t>
      </w:r>
      <w:r>
        <w:rPr>
          <w:rFonts w:hint="eastAsia" w:ascii="宋体" w:hAnsi="宋体" w:eastAsia="宋体"/>
          <w:sz w:val="24"/>
          <w:szCs w:val="24"/>
        </w:rPr>
        <w:t>特定审计程序，具体工作底稿示例详见本实务应用指引附件一</w:t>
      </w:r>
      <w:r>
        <w:rPr>
          <w:rFonts w:ascii="宋体" w:hAnsi="宋体" w:eastAsia="宋体"/>
          <w:sz w:val="24"/>
          <w:szCs w:val="24"/>
        </w:rPr>
        <w:t>&lt;</w:t>
      </w:r>
      <w:r>
        <w:rPr>
          <w:rFonts w:hint="eastAsia" w:ascii="宋体" w:hAnsi="宋体" w:eastAsia="宋体"/>
          <w:sz w:val="24"/>
          <w:szCs w:val="24"/>
        </w:rPr>
        <w:t>特定审计程序</w:t>
      </w:r>
      <w:r>
        <w:rPr>
          <w:rFonts w:ascii="宋体" w:hAnsi="宋体" w:eastAsia="宋体"/>
          <w:sz w:val="24"/>
          <w:szCs w:val="24"/>
        </w:rPr>
        <w:t>2&gt;</w:t>
      </w:r>
      <w:r>
        <w:rPr>
          <w:rFonts w:hint="eastAsia" w:ascii="宋体" w:hAnsi="宋体" w:eastAsia="宋体"/>
          <w:sz w:val="24"/>
          <w:szCs w:val="24"/>
        </w:rPr>
        <w:t>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关于第</w:t>
      </w:r>
      <w:r>
        <w:rPr>
          <w:rFonts w:ascii="宋体" w:hAnsi="宋体" w:eastAsia="宋体"/>
          <w:sz w:val="24"/>
          <w:szCs w:val="24"/>
        </w:rPr>
        <w:t>3项特定审计程序，具体工作底稿示例详见本实务应用指引附件一&lt;</w:t>
      </w:r>
      <w:r>
        <w:rPr>
          <w:rFonts w:hint="eastAsia" w:ascii="宋体" w:hAnsi="宋体" w:eastAsia="宋体"/>
          <w:sz w:val="24"/>
          <w:szCs w:val="24"/>
        </w:rPr>
        <w:t>特定审计程序</w:t>
      </w:r>
      <w:r>
        <w:rPr>
          <w:rFonts w:ascii="宋体" w:hAnsi="宋体" w:eastAsia="宋体"/>
          <w:sz w:val="24"/>
          <w:szCs w:val="24"/>
        </w:rPr>
        <w:t>3&gt;</w:t>
      </w:r>
      <w:r>
        <w:rPr>
          <w:rFonts w:hint="eastAsia" w:ascii="宋体" w:hAnsi="宋体" w:eastAsia="宋体"/>
          <w:sz w:val="24"/>
          <w:szCs w:val="24"/>
        </w:rPr>
        <w:t>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关于第</w:t>
      </w:r>
      <w:r>
        <w:rPr>
          <w:rFonts w:ascii="宋体" w:hAnsi="宋体" w:eastAsia="宋体"/>
          <w:sz w:val="24"/>
          <w:szCs w:val="24"/>
        </w:rPr>
        <w:t>4项特定审计程序，具体工作底稿示例详见本实务应用指引附件一&lt;</w:t>
      </w:r>
      <w:r>
        <w:rPr>
          <w:rFonts w:hint="eastAsia" w:ascii="宋体" w:hAnsi="宋体" w:eastAsia="宋体"/>
          <w:sz w:val="24"/>
          <w:szCs w:val="24"/>
        </w:rPr>
        <w:t>特定审计程序</w:t>
      </w:r>
      <w:r>
        <w:rPr>
          <w:rFonts w:ascii="宋体" w:hAnsi="宋体" w:eastAsia="宋体"/>
          <w:sz w:val="24"/>
          <w:szCs w:val="24"/>
        </w:rPr>
        <w:t>4&gt;</w:t>
      </w:r>
      <w:r>
        <w:rPr>
          <w:rFonts w:hint="eastAsia" w:ascii="宋体" w:hAnsi="宋体" w:eastAsia="宋体"/>
          <w:sz w:val="24"/>
          <w:szCs w:val="24"/>
        </w:rPr>
        <w:t>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关于第</w:t>
      </w:r>
      <w:r>
        <w:rPr>
          <w:rFonts w:ascii="宋体" w:hAnsi="宋体" w:eastAsia="宋体"/>
          <w:sz w:val="24"/>
          <w:szCs w:val="24"/>
        </w:rPr>
        <w:t>5项特定审计程序，具体工作底稿示例详见本实务应用指引附件一&lt;</w:t>
      </w:r>
      <w:r>
        <w:rPr>
          <w:rFonts w:hint="eastAsia" w:ascii="宋体" w:hAnsi="宋体" w:eastAsia="宋体"/>
          <w:sz w:val="24"/>
          <w:szCs w:val="24"/>
        </w:rPr>
        <w:t>特定审计程序</w:t>
      </w:r>
      <w:r>
        <w:rPr>
          <w:rFonts w:ascii="宋体" w:hAnsi="宋体" w:eastAsia="宋体"/>
          <w:sz w:val="24"/>
          <w:szCs w:val="24"/>
        </w:rPr>
        <w:t>5&gt;</w:t>
      </w:r>
      <w:r>
        <w:rPr>
          <w:rFonts w:hint="eastAsia" w:ascii="宋体" w:hAnsi="宋体" w:eastAsia="宋体"/>
          <w:sz w:val="24"/>
          <w:szCs w:val="24"/>
        </w:rPr>
        <w:t>表。</w:t>
      </w:r>
    </w:p>
    <w:p>
      <w:pPr>
        <w:spacing w:line="360" w:lineRule="auto"/>
        <w:ind w:left="-55" w:leftChars="-26" w:firstLine="476"/>
        <w:rPr>
          <w:rFonts w:ascii="宋体" w:hAnsi="宋体" w:eastAsia="宋体"/>
          <w:sz w:val="24"/>
          <w:szCs w:val="24"/>
        </w:rPr>
      </w:pPr>
    </w:p>
    <w:p>
      <w:pPr>
        <w:spacing w:line="360" w:lineRule="auto"/>
        <w:ind w:left="-55" w:leftChars="-26" w:firstLine="476"/>
        <w:rPr>
          <w:rFonts w:ascii="宋体" w:hAnsi="宋体" w:eastAsia="宋体"/>
          <w:b/>
          <w:bCs/>
          <w:sz w:val="24"/>
          <w:szCs w:val="24"/>
        </w:rPr>
      </w:pPr>
      <w:r>
        <w:rPr>
          <w:rFonts w:hint="eastAsia" w:ascii="宋体" w:hAnsi="宋体" w:eastAsia="宋体"/>
          <w:b/>
          <w:bCs/>
          <w:sz w:val="24"/>
          <w:szCs w:val="24"/>
        </w:rPr>
        <w:t>本应用指引仅供会计师事务所与注册会计师在执业过程中进行参考，所包含的示例和应对措施不能穷尽实务中的所有情况，并未涵盖制造业企业全部财务舞弊关注领域以及可能面临的全部审计风险，也不能替代相关法律法规、执业准则规定以及注册会计师的职业判断。为达到各种目标，企业管理层的舞弊动机将会一直存在，其实施财务舞弊的手段与方式也将会持续迭代，财务舞弊会呈现更具隐蔽性与系统性，更加复杂化与多样化。会计师事务所与注册会计师在执业过程中需结合被审计单位实际情况，根据风险评估结果，对异常情况保持高度警觉和职业怀疑，运用职业判断设计并采取适当的应对措施，相应开展审计工作。对企业发行股票、债券等融资上市审计与其他目的审计业务，会计师事务所与注册会计师应进一步按照相关政府监管部门发布的要求与指引，执行相应的延伸与补充性审计程序，以获取充分而恰当的审计证据。</w:t>
      </w:r>
    </w:p>
    <w:p>
      <w:pPr>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8500226"/>
    </w:sdtPr>
    <w:sdtContent>
      <w:p>
        <w:pPr>
          <w:pStyle w:val="8"/>
          <w:jc w:val="center"/>
        </w:pP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Pr>
            <w:rFonts w:ascii="Arial" w:hAnsi="Arial" w:cs="Arial"/>
            <w:sz w:val="21"/>
            <w:szCs w:val="21"/>
          </w:rPr>
          <w:t>2</w:t>
        </w:r>
        <w:r>
          <w:rPr>
            <w:rFonts w:ascii="Arial" w:hAnsi="Arial" w:cs="Arial"/>
            <w:sz w:val="21"/>
            <w:szCs w:val="21"/>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57150012"/>
    <w:multiLevelType w:val="multilevel"/>
    <w:tmpl w:val="57150012"/>
    <w:lvl w:ilvl="0" w:tentative="0">
      <w:start w:val="1"/>
      <w:numFmt w:val="bullet"/>
      <w:pStyle w:val="18"/>
      <w:lvlText w:val=""/>
      <w:lvlPicBulletId w:val="0"/>
      <w:lvlJc w:val="left"/>
      <w:pPr>
        <w:ind w:left="360" w:hanging="36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6D3274EB"/>
    <w:multiLevelType w:val="multilevel"/>
    <w:tmpl w:val="6D3274EB"/>
    <w:lvl w:ilvl="0" w:tentative="0">
      <w:start w:val="1"/>
      <w:numFmt w:val="japaneseCounting"/>
      <w:pStyle w:val="10"/>
      <w:lvlText w:val="%1、"/>
      <w:lvlJc w:val="left"/>
      <w:pPr>
        <w:ind w:left="456" w:hanging="456"/>
      </w:pPr>
      <w:rPr>
        <w:rFonts w:hint="default" w:ascii="宋体" w:hAnsi="宋体" w:eastAsia="宋体"/>
        <w:b w:val="0"/>
        <w:bCs/>
        <w:color w:val="auto"/>
        <w:u w:val="none"/>
      </w:rPr>
    </w:lvl>
    <w:lvl w:ilvl="1" w:tentative="0">
      <w:start w:val="1"/>
      <w:numFmt w:val="lowerLetter"/>
      <w:lvlText w:val="%2)"/>
      <w:lvlJc w:val="left"/>
      <w:pPr>
        <w:ind w:left="895" w:hanging="440"/>
      </w:pPr>
    </w:lvl>
    <w:lvl w:ilvl="2" w:tentative="0">
      <w:start w:val="1"/>
      <w:numFmt w:val="lowerRoman"/>
      <w:lvlText w:val="%3."/>
      <w:lvlJc w:val="right"/>
      <w:pPr>
        <w:ind w:left="1335" w:hanging="440"/>
      </w:pPr>
    </w:lvl>
    <w:lvl w:ilvl="3" w:tentative="0">
      <w:start w:val="1"/>
      <w:numFmt w:val="decimal"/>
      <w:lvlText w:val="%4."/>
      <w:lvlJc w:val="left"/>
      <w:pPr>
        <w:ind w:left="1775" w:hanging="440"/>
      </w:pPr>
    </w:lvl>
    <w:lvl w:ilvl="4" w:tentative="0">
      <w:start w:val="1"/>
      <w:numFmt w:val="lowerLetter"/>
      <w:lvlText w:val="%5)"/>
      <w:lvlJc w:val="left"/>
      <w:pPr>
        <w:ind w:left="2215" w:hanging="440"/>
      </w:pPr>
    </w:lvl>
    <w:lvl w:ilvl="5" w:tentative="0">
      <w:start w:val="1"/>
      <w:numFmt w:val="lowerRoman"/>
      <w:lvlText w:val="%6."/>
      <w:lvlJc w:val="right"/>
      <w:pPr>
        <w:ind w:left="2655" w:hanging="440"/>
      </w:pPr>
    </w:lvl>
    <w:lvl w:ilvl="6" w:tentative="0">
      <w:start w:val="1"/>
      <w:numFmt w:val="decimal"/>
      <w:lvlText w:val="%7."/>
      <w:lvlJc w:val="left"/>
      <w:pPr>
        <w:ind w:left="3095" w:hanging="440"/>
      </w:pPr>
    </w:lvl>
    <w:lvl w:ilvl="7" w:tentative="0">
      <w:start w:val="1"/>
      <w:numFmt w:val="lowerLetter"/>
      <w:lvlText w:val="%8)"/>
      <w:lvlJc w:val="left"/>
      <w:pPr>
        <w:ind w:left="3535" w:hanging="440"/>
      </w:pPr>
    </w:lvl>
    <w:lvl w:ilvl="8" w:tentative="0">
      <w:start w:val="1"/>
      <w:numFmt w:val="lowerRoman"/>
      <w:lvlText w:val="%9."/>
      <w:lvlJc w:val="right"/>
      <w:pPr>
        <w:ind w:left="3975"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90306F"/>
    <w:rsid w:val="000006C3"/>
    <w:rsid w:val="00000D48"/>
    <w:rsid w:val="00000F6F"/>
    <w:rsid w:val="00001218"/>
    <w:rsid w:val="000017FB"/>
    <w:rsid w:val="00003092"/>
    <w:rsid w:val="0000387E"/>
    <w:rsid w:val="00003C8D"/>
    <w:rsid w:val="00003ED4"/>
    <w:rsid w:val="00004945"/>
    <w:rsid w:val="00004A79"/>
    <w:rsid w:val="0000579B"/>
    <w:rsid w:val="00006375"/>
    <w:rsid w:val="000068A1"/>
    <w:rsid w:val="00006FE6"/>
    <w:rsid w:val="00007D03"/>
    <w:rsid w:val="00007DF8"/>
    <w:rsid w:val="00011E0A"/>
    <w:rsid w:val="00012553"/>
    <w:rsid w:val="00015951"/>
    <w:rsid w:val="000161CF"/>
    <w:rsid w:val="00016C0C"/>
    <w:rsid w:val="00016E49"/>
    <w:rsid w:val="000170B8"/>
    <w:rsid w:val="000172A6"/>
    <w:rsid w:val="000221B9"/>
    <w:rsid w:val="00022551"/>
    <w:rsid w:val="00022B92"/>
    <w:rsid w:val="00024D47"/>
    <w:rsid w:val="00025DC5"/>
    <w:rsid w:val="000269F5"/>
    <w:rsid w:val="00026B0A"/>
    <w:rsid w:val="00030F08"/>
    <w:rsid w:val="00031979"/>
    <w:rsid w:val="00032BFD"/>
    <w:rsid w:val="0003359F"/>
    <w:rsid w:val="0003397A"/>
    <w:rsid w:val="000358AC"/>
    <w:rsid w:val="00041DD5"/>
    <w:rsid w:val="000448AA"/>
    <w:rsid w:val="00044D52"/>
    <w:rsid w:val="00046F1F"/>
    <w:rsid w:val="000501ED"/>
    <w:rsid w:val="00050A83"/>
    <w:rsid w:val="00051AE0"/>
    <w:rsid w:val="0005260E"/>
    <w:rsid w:val="00053D45"/>
    <w:rsid w:val="000541A7"/>
    <w:rsid w:val="0005448B"/>
    <w:rsid w:val="00054B23"/>
    <w:rsid w:val="00054BA8"/>
    <w:rsid w:val="00055817"/>
    <w:rsid w:val="00055CC7"/>
    <w:rsid w:val="00060447"/>
    <w:rsid w:val="00060542"/>
    <w:rsid w:val="00061B2F"/>
    <w:rsid w:val="000623D5"/>
    <w:rsid w:val="000631D8"/>
    <w:rsid w:val="000636CF"/>
    <w:rsid w:val="00063DD0"/>
    <w:rsid w:val="00063FC9"/>
    <w:rsid w:val="00064F8A"/>
    <w:rsid w:val="0006598A"/>
    <w:rsid w:val="00067957"/>
    <w:rsid w:val="00067CBA"/>
    <w:rsid w:val="000726C8"/>
    <w:rsid w:val="00072E64"/>
    <w:rsid w:val="00072E99"/>
    <w:rsid w:val="000735A1"/>
    <w:rsid w:val="00074BE1"/>
    <w:rsid w:val="0007632D"/>
    <w:rsid w:val="00081091"/>
    <w:rsid w:val="000826DF"/>
    <w:rsid w:val="0008381D"/>
    <w:rsid w:val="00084BFD"/>
    <w:rsid w:val="00085AF2"/>
    <w:rsid w:val="00085C65"/>
    <w:rsid w:val="00085DEA"/>
    <w:rsid w:val="00086CF9"/>
    <w:rsid w:val="00091604"/>
    <w:rsid w:val="0009286C"/>
    <w:rsid w:val="0009425D"/>
    <w:rsid w:val="00094ED4"/>
    <w:rsid w:val="0009530F"/>
    <w:rsid w:val="0009545B"/>
    <w:rsid w:val="00095567"/>
    <w:rsid w:val="000A005E"/>
    <w:rsid w:val="000A0E45"/>
    <w:rsid w:val="000A1A6C"/>
    <w:rsid w:val="000A2744"/>
    <w:rsid w:val="000A29BA"/>
    <w:rsid w:val="000A318B"/>
    <w:rsid w:val="000A32CB"/>
    <w:rsid w:val="000A3D9C"/>
    <w:rsid w:val="000A45C4"/>
    <w:rsid w:val="000A5111"/>
    <w:rsid w:val="000A6C69"/>
    <w:rsid w:val="000A6EBF"/>
    <w:rsid w:val="000A7735"/>
    <w:rsid w:val="000B07A2"/>
    <w:rsid w:val="000B1285"/>
    <w:rsid w:val="000B29F1"/>
    <w:rsid w:val="000B40C9"/>
    <w:rsid w:val="000B67D8"/>
    <w:rsid w:val="000B74FB"/>
    <w:rsid w:val="000B7544"/>
    <w:rsid w:val="000B7A7E"/>
    <w:rsid w:val="000B7F9D"/>
    <w:rsid w:val="000C01E9"/>
    <w:rsid w:val="000C13C6"/>
    <w:rsid w:val="000C1C94"/>
    <w:rsid w:val="000C2246"/>
    <w:rsid w:val="000C2E2B"/>
    <w:rsid w:val="000C3498"/>
    <w:rsid w:val="000C4E57"/>
    <w:rsid w:val="000C5071"/>
    <w:rsid w:val="000C5536"/>
    <w:rsid w:val="000C6B71"/>
    <w:rsid w:val="000C7301"/>
    <w:rsid w:val="000C732E"/>
    <w:rsid w:val="000D179B"/>
    <w:rsid w:val="000D1F1F"/>
    <w:rsid w:val="000D291A"/>
    <w:rsid w:val="000D4B1E"/>
    <w:rsid w:val="000D4D71"/>
    <w:rsid w:val="000D649C"/>
    <w:rsid w:val="000D71AA"/>
    <w:rsid w:val="000D7FD0"/>
    <w:rsid w:val="000E00C6"/>
    <w:rsid w:val="000E3471"/>
    <w:rsid w:val="000E4563"/>
    <w:rsid w:val="000E4901"/>
    <w:rsid w:val="000E6954"/>
    <w:rsid w:val="000E6A36"/>
    <w:rsid w:val="000E6D3D"/>
    <w:rsid w:val="000E7240"/>
    <w:rsid w:val="000E7D4D"/>
    <w:rsid w:val="000F09AE"/>
    <w:rsid w:val="000F13D0"/>
    <w:rsid w:val="000F23F1"/>
    <w:rsid w:val="000F3C53"/>
    <w:rsid w:val="000F441D"/>
    <w:rsid w:val="000F50DA"/>
    <w:rsid w:val="000F57B8"/>
    <w:rsid w:val="000F6413"/>
    <w:rsid w:val="000F6C49"/>
    <w:rsid w:val="00100990"/>
    <w:rsid w:val="00100EFA"/>
    <w:rsid w:val="00100FBE"/>
    <w:rsid w:val="001015D5"/>
    <w:rsid w:val="00102688"/>
    <w:rsid w:val="00103D3B"/>
    <w:rsid w:val="00103EA2"/>
    <w:rsid w:val="001048D5"/>
    <w:rsid w:val="001049E7"/>
    <w:rsid w:val="00106719"/>
    <w:rsid w:val="001069EA"/>
    <w:rsid w:val="0010755E"/>
    <w:rsid w:val="001104BE"/>
    <w:rsid w:val="00111B13"/>
    <w:rsid w:val="001125DD"/>
    <w:rsid w:val="0011280D"/>
    <w:rsid w:val="00113142"/>
    <w:rsid w:val="00113896"/>
    <w:rsid w:val="00114521"/>
    <w:rsid w:val="00116E1F"/>
    <w:rsid w:val="00117831"/>
    <w:rsid w:val="00120034"/>
    <w:rsid w:val="00120270"/>
    <w:rsid w:val="001204D7"/>
    <w:rsid w:val="00123874"/>
    <w:rsid w:val="00123882"/>
    <w:rsid w:val="00123D97"/>
    <w:rsid w:val="001240CE"/>
    <w:rsid w:val="001242C1"/>
    <w:rsid w:val="00124DC3"/>
    <w:rsid w:val="0012534C"/>
    <w:rsid w:val="001268DC"/>
    <w:rsid w:val="001273D5"/>
    <w:rsid w:val="001302D1"/>
    <w:rsid w:val="0013046A"/>
    <w:rsid w:val="00130751"/>
    <w:rsid w:val="00130C10"/>
    <w:rsid w:val="001320F2"/>
    <w:rsid w:val="00132938"/>
    <w:rsid w:val="00134F13"/>
    <w:rsid w:val="00136209"/>
    <w:rsid w:val="001377D1"/>
    <w:rsid w:val="00137EF2"/>
    <w:rsid w:val="00140E46"/>
    <w:rsid w:val="00141831"/>
    <w:rsid w:val="00142662"/>
    <w:rsid w:val="001456CF"/>
    <w:rsid w:val="00145BD0"/>
    <w:rsid w:val="00146225"/>
    <w:rsid w:val="00150BD1"/>
    <w:rsid w:val="0015121D"/>
    <w:rsid w:val="00151B21"/>
    <w:rsid w:val="001525AA"/>
    <w:rsid w:val="0015468D"/>
    <w:rsid w:val="00154E4E"/>
    <w:rsid w:val="00155442"/>
    <w:rsid w:val="00156565"/>
    <w:rsid w:val="001606C0"/>
    <w:rsid w:val="001609D0"/>
    <w:rsid w:val="00160A54"/>
    <w:rsid w:val="00160EFB"/>
    <w:rsid w:val="0016125D"/>
    <w:rsid w:val="00161B45"/>
    <w:rsid w:val="00164283"/>
    <w:rsid w:val="001663C6"/>
    <w:rsid w:val="0016657C"/>
    <w:rsid w:val="00166A0B"/>
    <w:rsid w:val="00166B94"/>
    <w:rsid w:val="001670CD"/>
    <w:rsid w:val="00171005"/>
    <w:rsid w:val="0017105D"/>
    <w:rsid w:val="00171507"/>
    <w:rsid w:val="00173C4A"/>
    <w:rsid w:val="001746CA"/>
    <w:rsid w:val="00175071"/>
    <w:rsid w:val="00176108"/>
    <w:rsid w:val="00177215"/>
    <w:rsid w:val="00180F45"/>
    <w:rsid w:val="0018205E"/>
    <w:rsid w:val="00182912"/>
    <w:rsid w:val="00182AC6"/>
    <w:rsid w:val="00184659"/>
    <w:rsid w:val="00185701"/>
    <w:rsid w:val="00186D41"/>
    <w:rsid w:val="0018712C"/>
    <w:rsid w:val="0018766E"/>
    <w:rsid w:val="001902B6"/>
    <w:rsid w:val="0019160A"/>
    <w:rsid w:val="00191935"/>
    <w:rsid w:val="00191D1B"/>
    <w:rsid w:val="00191E10"/>
    <w:rsid w:val="0019270B"/>
    <w:rsid w:val="00192ADC"/>
    <w:rsid w:val="001949D4"/>
    <w:rsid w:val="00194CAA"/>
    <w:rsid w:val="00195D65"/>
    <w:rsid w:val="00196702"/>
    <w:rsid w:val="00196F80"/>
    <w:rsid w:val="00197184"/>
    <w:rsid w:val="001A0B18"/>
    <w:rsid w:val="001A194F"/>
    <w:rsid w:val="001A21B8"/>
    <w:rsid w:val="001A3F11"/>
    <w:rsid w:val="001A58A5"/>
    <w:rsid w:val="001A5B8B"/>
    <w:rsid w:val="001A78F0"/>
    <w:rsid w:val="001B0659"/>
    <w:rsid w:val="001B0811"/>
    <w:rsid w:val="001B479B"/>
    <w:rsid w:val="001B5D53"/>
    <w:rsid w:val="001C069C"/>
    <w:rsid w:val="001C0939"/>
    <w:rsid w:val="001C0EB6"/>
    <w:rsid w:val="001C27DD"/>
    <w:rsid w:val="001C288D"/>
    <w:rsid w:val="001C2A00"/>
    <w:rsid w:val="001C3117"/>
    <w:rsid w:val="001C36C8"/>
    <w:rsid w:val="001C37B5"/>
    <w:rsid w:val="001C3BEC"/>
    <w:rsid w:val="001C3F32"/>
    <w:rsid w:val="001C4A65"/>
    <w:rsid w:val="001D0089"/>
    <w:rsid w:val="001D0CB0"/>
    <w:rsid w:val="001D0EE9"/>
    <w:rsid w:val="001D296F"/>
    <w:rsid w:val="001D37DD"/>
    <w:rsid w:val="001D396E"/>
    <w:rsid w:val="001D4121"/>
    <w:rsid w:val="001D45B0"/>
    <w:rsid w:val="001D4796"/>
    <w:rsid w:val="001D532C"/>
    <w:rsid w:val="001D57C0"/>
    <w:rsid w:val="001D796D"/>
    <w:rsid w:val="001E0089"/>
    <w:rsid w:val="001E1CC3"/>
    <w:rsid w:val="001E2281"/>
    <w:rsid w:val="001E35A6"/>
    <w:rsid w:val="001E4BAC"/>
    <w:rsid w:val="001E5E5D"/>
    <w:rsid w:val="001E78F9"/>
    <w:rsid w:val="001F0654"/>
    <w:rsid w:val="001F067D"/>
    <w:rsid w:val="001F0B5C"/>
    <w:rsid w:val="001F122E"/>
    <w:rsid w:val="001F1C1B"/>
    <w:rsid w:val="001F1F0D"/>
    <w:rsid w:val="001F2797"/>
    <w:rsid w:val="001F2FCF"/>
    <w:rsid w:val="001F32C4"/>
    <w:rsid w:val="00200C57"/>
    <w:rsid w:val="002023A7"/>
    <w:rsid w:val="00202901"/>
    <w:rsid w:val="0020350C"/>
    <w:rsid w:val="0020498E"/>
    <w:rsid w:val="00207B9E"/>
    <w:rsid w:val="002107C5"/>
    <w:rsid w:val="002107D9"/>
    <w:rsid w:val="00210D9C"/>
    <w:rsid w:val="002110B4"/>
    <w:rsid w:val="0021130C"/>
    <w:rsid w:val="00211F6E"/>
    <w:rsid w:val="00212437"/>
    <w:rsid w:val="002129BC"/>
    <w:rsid w:val="0021566D"/>
    <w:rsid w:val="00216646"/>
    <w:rsid w:val="00216C96"/>
    <w:rsid w:val="00217535"/>
    <w:rsid w:val="0021789D"/>
    <w:rsid w:val="00220593"/>
    <w:rsid w:val="00220740"/>
    <w:rsid w:val="00221466"/>
    <w:rsid w:val="00221F55"/>
    <w:rsid w:val="00222542"/>
    <w:rsid w:val="0022301B"/>
    <w:rsid w:val="00223CAE"/>
    <w:rsid w:val="00224942"/>
    <w:rsid w:val="002257A8"/>
    <w:rsid w:val="00227074"/>
    <w:rsid w:val="00227BAC"/>
    <w:rsid w:val="0023198A"/>
    <w:rsid w:val="00231A97"/>
    <w:rsid w:val="00231D01"/>
    <w:rsid w:val="00232D7D"/>
    <w:rsid w:val="0024179F"/>
    <w:rsid w:val="00242635"/>
    <w:rsid w:val="0024353C"/>
    <w:rsid w:val="0024396B"/>
    <w:rsid w:val="00243F46"/>
    <w:rsid w:val="002446FA"/>
    <w:rsid w:val="0024538B"/>
    <w:rsid w:val="00245F53"/>
    <w:rsid w:val="00245F7F"/>
    <w:rsid w:val="002463D6"/>
    <w:rsid w:val="0025153C"/>
    <w:rsid w:val="0025200C"/>
    <w:rsid w:val="00253EE7"/>
    <w:rsid w:val="00254AA4"/>
    <w:rsid w:val="002558D3"/>
    <w:rsid w:val="00255BEA"/>
    <w:rsid w:val="00256874"/>
    <w:rsid w:val="00256D86"/>
    <w:rsid w:val="00257177"/>
    <w:rsid w:val="00257E72"/>
    <w:rsid w:val="00260054"/>
    <w:rsid w:val="002615B0"/>
    <w:rsid w:val="0026161F"/>
    <w:rsid w:val="002618B3"/>
    <w:rsid w:val="00261A27"/>
    <w:rsid w:val="00261C43"/>
    <w:rsid w:val="002621AA"/>
    <w:rsid w:val="0026252C"/>
    <w:rsid w:val="00262C7B"/>
    <w:rsid w:val="00262C9D"/>
    <w:rsid w:val="002632AA"/>
    <w:rsid w:val="0026470E"/>
    <w:rsid w:val="002656D7"/>
    <w:rsid w:val="00265773"/>
    <w:rsid w:val="00266226"/>
    <w:rsid w:val="002676E8"/>
    <w:rsid w:val="00267D5F"/>
    <w:rsid w:val="00271371"/>
    <w:rsid w:val="0027182F"/>
    <w:rsid w:val="0027224F"/>
    <w:rsid w:val="0027305D"/>
    <w:rsid w:val="00273082"/>
    <w:rsid w:val="002740BE"/>
    <w:rsid w:val="00275007"/>
    <w:rsid w:val="00275AC5"/>
    <w:rsid w:val="002760F0"/>
    <w:rsid w:val="0027653D"/>
    <w:rsid w:val="00277CD1"/>
    <w:rsid w:val="0028017A"/>
    <w:rsid w:val="00280248"/>
    <w:rsid w:val="0028031D"/>
    <w:rsid w:val="002806C2"/>
    <w:rsid w:val="00280740"/>
    <w:rsid w:val="00280EA8"/>
    <w:rsid w:val="0028117E"/>
    <w:rsid w:val="0028319F"/>
    <w:rsid w:val="002832C3"/>
    <w:rsid w:val="00283719"/>
    <w:rsid w:val="00283E57"/>
    <w:rsid w:val="00284416"/>
    <w:rsid w:val="00285861"/>
    <w:rsid w:val="0028598D"/>
    <w:rsid w:val="002865F2"/>
    <w:rsid w:val="00287AFE"/>
    <w:rsid w:val="00287FA6"/>
    <w:rsid w:val="0029055E"/>
    <w:rsid w:val="00290FDA"/>
    <w:rsid w:val="00291E5B"/>
    <w:rsid w:val="0029249A"/>
    <w:rsid w:val="00294009"/>
    <w:rsid w:val="002954D1"/>
    <w:rsid w:val="002961F8"/>
    <w:rsid w:val="00296B4C"/>
    <w:rsid w:val="00296E96"/>
    <w:rsid w:val="00297C19"/>
    <w:rsid w:val="002A06C7"/>
    <w:rsid w:val="002A18A8"/>
    <w:rsid w:val="002A317E"/>
    <w:rsid w:val="002A3F54"/>
    <w:rsid w:val="002A4278"/>
    <w:rsid w:val="002A43A6"/>
    <w:rsid w:val="002A71A9"/>
    <w:rsid w:val="002A72A9"/>
    <w:rsid w:val="002B0CA0"/>
    <w:rsid w:val="002B1143"/>
    <w:rsid w:val="002B16FA"/>
    <w:rsid w:val="002B2A38"/>
    <w:rsid w:val="002B3B36"/>
    <w:rsid w:val="002B5365"/>
    <w:rsid w:val="002B55D8"/>
    <w:rsid w:val="002B66D8"/>
    <w:rsid w:val="002B6B62"/>
    <w:rsid w:val="002B70FC"/>
    <w:rsid w:val="002B71A5"/>
    <w:rsid w:val="002B728D"/>
    <w:rsid w:val="002B732D"/>
    <w:rsid w:val="002B7A4F"/>
    <w:rsid w:val="002B7AD3"/>
    <w:rsid w:val="002C066F"/>
    <w:rsid w:val="002C139E"/>
    <w:rsid w:val="002C1536"/>
    <w:rsid w:val="002C2364"/>
    <w:rsid w:val="002C4E91"/>
    <w:rsid w:val="002D2CCA"/>
    <w:rsid w:val="002D2D8F"/>
    <w:rsid w:val="002D430C"/>
    <w:rsid w:val="002D564A"/>
    <w:rsid w:val="002E0943"/>
    <w:rsid w:val="002E108A"/>
    <w:rsid w:val="002E270D"/>
    <w:rsid w:val="002E2CF2"/>
    <w:rsid w:val="002E3611"/>
    <w:rsid w:val="002E3FC9"/>
    <w:rsid w:val="002E7313"/>
    <w:rsid w:val="002E7451"/>
    <w:rsid w:val="002E7919"/>
    <w:rsid w:val="002F041F"/>
    <w:rsid w:val="002F31E4"/>
    <w:rsid w:val="002F445C"/>
    <w:rsid w:val="002F51DB"/>
    <w:rsid w:val="002F7D01"/>
    <w:rsid w:val="00300E4C"/>
    <w:rsid w:val="00300F29"/>
    <w:rsid w:val="00301E40"/>
    <w:rsid w:val="003037E5"/>
    <w:rsid w:val="0030404F"/>
    <w:rsid w:val="0030574A"/>
    <w:rsid w:val="00306A9C"/>
    <w:rsid w:val="00310A9F"/>
    <w:rsid w:val="00312425"/>
    <w:rsid w:val="0031356C"/>
    <w:rsid w:val="00313BA1"/>
    <w:rsid w:val="003140EC"/>
    <w:rsid w:val="0031502F"/>
    <w:rsid w:val="003151D8"/>
    <w:rsid w:val="00315BC3"/>
    <w:rsid w:val="00315DFD"/>
    <w:rsid w:val="003162BF"/>
    <w:rsid w:val="00317137"/>
    <w:rsid w:val="00317AE9"/>
    <w:rsid w:val="00317CF1"/>
    <w:rsid w:val="00320777"/>
    <w:rsid w:val="003212AF"/>
    <w:rsid w:val="003241AE"/>
    <w:rsid w:val="00325F22"/>
    <w:rsid w:val="0032619C"/>
    <w:rsid w:val="00327798"/>
    <w:rsid w:val="003303DD"/>
    <w:rsid w:val="003322AC"/>
    <w:rsid w:val="00332A98"/>
    <w:rsid w:val="00333E35"/>
    <w:rsid w:val="0033411A"/>
    <w:rsid w:val="00334647"/>
    <w:rsid w:val="00334F18"/>
    <w:rsid w:val="003368EB"/>
    <w:rsid w:val="00340D62"/>
    <w:rsid w:val="00340E1F"/>
    <w:rsid w:val="00344412"/>
    <w:rsid w:val="0034445A"/>
    <w:rsid w:val="00345888"/>
    <w:rsid w:val="00345CA8"/>
    <w:rsid w:val="0034652F"/>
    <w:rsid w:val="0034659B"/>
    <w:rsid w:val="003467F4"/>
    <w:rsid w:val="00350060"/>
    <w:rsid w:val="0035151C"/>
    <w:rsid w:val="00351754"/>
    <w:rsid w:val="00352981"/>
    <w:rsid w:val="0035375B"/>
    <w:rsid w:val="0035423D"/>
    <w:rsid w:val="00354678"/>
    <w:rsid w:val="0035490A"/>
    <w:rsid w:val="00355321"/>
    <w:rsid w:val="00355BCA"/>
    <w:rsid w:val="003560A3"/>
    <w:rsid w:val="00356966"/>
    <w:rsid w:val="00361831"/>
    <w:rsid w:val="00361EBA"/>
    <w:rsid w:val="00362874"/>
    <w:rsid w:val="0036304E"/>
    <w:rsid w:val="00363865"/>
    <w:rsid w:val="00363AFE"/>
    <w:rsid w:val="003643C2"/>
    <w:rsid w:val="00365781"/>
    <w:rsid w:val="00366227"/>
    <w:rsid w:val="00370703"/>
    <w:rsid w:val="003714FC"/>
    <w:rsid w:val="0037154A"/>
    <w:rsid w:val="003715BF"/>
    <w:rsid w:val="00371656"/>
    <w:rsid w:val="003722E2"/>
    <w:rsid w:val="003746F7"/>
    <w:rsid w:val="00375137"/>
    <w:rsid w:val="003752F4"/>
    <w:rsid w:val="003759AF"/>
    <w:rsid w:val="00376A64"/>
    <w:rsid w:val="00376B09"/>
    <w:rsid w:val="00381788"/>
    <w:rsid w:val="003817B6"/>
    <w:rsid w:val="003818CE"/>
    <w:rsid w:val="00381924"/>
    <w:rsid w:val="00381F6F"/>
    <w:rsid w:val="003840C1"/>
    <w:rsid w:val="00384234"/>
    <w:rsid w:val="00384A70"/>
    <w:rsid w:val="00384D5E"/>
    <w:rsid w:val="00384D69"/>
    <w:rsid w:val="00386722"/>
    <w:rsid w:val="00386934"/>
    <w:rsid w:val="003875C5"/>
    <w:rsid w:val="00390E31"/>
    <w:rsid w:val="0039175A"/>
    <w:rsid w:val="00391815"/>
    <w:rsid w:val="00391E41"/>
    <w:rsid w:val="00394369"/>
    <w:rsid w:val="003946F4"/>
    <w:rsid w:val="00395FBC"/>
    <w:rsid w:val="00396F3B"/>
    <w:rsid w:val="00397273"/>
    <w:rsid w:val="003A0C64"/>
    <w:rsid w:val="003A22B1"/>
    <w:rsid w:val="003A3608"/>
    <w:rsid w:val="003A6C5D"/>
    <w:rsid w:val="003A75F8"/>
    <w:rsid w:val="003B0855"/>
    <w:rsid w:val="003B0FBF"/>
    <w:rsid w:val="003B154F"/>
    <w:rsid w:val="003B172E"/>
    <w:rsid w:val="003B192C"/>
    <w:rsid w:val="003B20E0"/>
    <w:rsid w:val="003B2FEC"/>
    <w:rsid w:val="003B52C4"/>
    <w:rsid w:val="003B66A3"/>
    <w:rsid w:val="003C1EC0"/>
    <w:rsid w:val="003C20D1"/>
    <w:rsid w:val="003C2BC5"/>
    <w:rsid w:val="003C40C8"/>
    <w:rsid w:val="003C4AB2"/>
    <w:rsid w:val="003C4C2F"/>
    <w:rsid w:val="003C4E5F"/>
    <w:rsid w:val="003C53C0"/>
    <w:rsid w:val="003C6875"/>
    <w:rsid w:val="003C6880"/>
    <w:rsid w:val="003C7443"/>
    <w:rsid w:val="003C7512"/>
    <w:rsid w:val="003D098D"/>
    <w:rsid w:val="003D0CC5"/>
    <w:rsid w:val="003D0FB3"/>
    <w:rsid w:val="003D11AD"/>
    <w:rsid w:val="003D1F03"/>
    <w:rsid w:val="003D4CD5"/>
    <w:rsid w:val="003D5785"/>
    <w:rsid w:val="003D60B8"/>
    <w:rsid w:val="003E0C3C"/>
    <w:rsid w:val="003E1BF2"/>
    <w:rsid w:val="003E2070"/>
    <w:rsid w:val="003E2263"/>
    <w:rsid w:val="003E282D"/>
    <w:rsid w:val="003E41D9"/>
    <w:rsid w:val="003E452D"/>
    <w:rsid w:val="003E48DE"/>
    <w:rsid w:val="003E5485"/>
    <w:rsid w:val="003E6525"/>
    <w:rsid w:val="003E6DBF"/>
    <w:rsid w:val="003E77D3"/>
    <w:rsid w:val="003E7C49"/>
    <w:rsid w:val="003F04B5"/>
    <w:rsid w:val="003F0AF6"/>
    <w:rsid w:val="003F1350"/>
    <w:rsid w:val="003F18BF"/>
    <w:rsid w:val="003F2201"/>
    <w:rsid w:val="003F243A"/>
    <w:rsid w:val="003F2EC5"/>
    <w:rsid w:val="003F33B6"/>
    <w:rsid w:val="003F39CB"/>
    <w:rsid w:val="003F430A"/>
    <w:rsid w:val="003F66D0"/>
    <w:rsid w:val="003F7E4D"/>
    <w:rsid w:val="00400217"/>
    <w:rsid w:val="00401695"/>
    <w:rsid w:val="00401696"/>
    <w:rsid w:val="00401D86"/>
    <w:rsid w:val="00402134"/>
    <w:rsid w:val="004026F0"/>
    <w:rsid w:val="00402B4F"/>
    <w:rsid w:val="00402E21"/>
    <w:rsid w:val="004041E3"/>
    <w:rsid w:val="004049A7"/>
    <w:rsid w:val="00405212"/>
    <w:rsid w:val="00405A8E"/>
    <w:rsid w:val="00406318"/>
    <w:rsid w:val="004109A8"/>
    <w:rsid w:val="00410EFB"/>
    <w:rsid w:val="00411CC3"/>
    <w:rsid w:val="0041243D"/>
    <w:rsid w:val="0041395A"/>
    <w:rsid w:val="00416FDC"/>
    <w:rsid w:val="00420CBE"/>
    <w:rsid w:val="004214A6"/>
    <w:rsid w:val="0042189C"/>
    <w:rsid w:val="00422B9A"/>
    <w:rsid w:val="00423176"/>
    <w:rsid w:val="00423B29"/>
    <w:rsid w:val="004245DA"/>
    <w:rsid w:val="00424F61"/>
    <w:rsid w:val="004259E6"/>
    <w:rsid w:val="00425C68"/>
    <w:rsid w:val="00430CEA"/>
    <w:rsid w:val="00431395"/>
    <w:rsid w:val="0043140A"/>
    <w:rsid w:val="00432494"/>
    <w:rsid w:val="00433510"/>
    <w:rsid w:val="004339F7"/>
    <w:rsid w:val="00434C98"/>
    <w:rsid w:val="00437B93"/>
    <w:rsid w:val="0044039E"/>
    <w:rsid w:val="00442193"/>
    <w:rsid w:val="00443229"/>
    <w:rsid w:val="004456EB"/>
    <w:rsid w:val="004475C3"/>
    <w:rsid w:val="00447830"/>
    <w:rsid w:val="00447F6D"/>
    <w:rsid w:val="00450E9A"/>
    <w:rsid w:val="0045189A"/>
    <w:rsid w:val="00452268"/>
    <w:rsid w:val="004536CF"/>
    <w:rsid w:val="0045397B"/>
    <w:rsid w:val="00454225"/>
    <w:rsid w:val="00454C32"/>
    <w:rsid w:val="00461488"/>
    <w:rsid w:val="00461713"/>
    <w:rsid w:val="00461DF0"/>
    <w:rsid w:val="0046200B"/>
    <w:rsid w:val="00462AD9"/>
    <w:rsid w:val="00462C46"/>
    <w:rsid w:val="004636C1"/>
    <w:rsid w:val="00463E75"/>
    <w:rsid w:val="004655F5"/>
    <w:rsid w:val="00466508"/>
    <w:rsid w:val="00466C28"/>
    <w:rsid w:val="004673AE"/>
    <w:rsid w:val="0046785A"/>
    <w:rsid w:val="00467B43"/>
    <w:rsid w:val="00467BF9"/>
    <w:rsid w:val="00467E0B"/>
    <w:rsid w:val="00470CCA"/>
    <w:rsid w:val="00470D40"/>
    <w:rsid w:val="0047165B"/>
    <w:rsid w:val="004717A3"/>
    <w:rsid w:val="00471E36"/>
    <w:rsid w:val="004736AF"/>
    <w:rsid w:val="00475074"/>
    <w:rsid w:val="00476059"/>
    <w:rsid w:val="00480FAC"/>
    <w:rsid w:val="004820D5"/>
    <w:rsid w:val="004830EE"/>
    <w:rsid w:val="00484BD9"/>
    <w:rsid w:val="00484CF1"/>
    <w:rsid w:val="00487B87"/>
    <w:rsid w:val="00491435"/>
    <w:rsid w:val="00493CFD"/>
    <w:rsid w:val="00494302"/>
    <w:rsid w:val="004956C7"/>
    <w:rsid w:val="00495E21"/>
    <w:rsid w:val="00497393"/>
    <w:rsid w:val="004974DE"/>
    <w:rsid w:val="00497DEE"/>
    <w:rsid w:val="004A0899"/>
    <w:rsid w:val="004A1926"/>
    <w:rsid w:val="004A400B"/>
    <w:rsid w:val="004A4024"/>
    <w:rsid w:val="004A4673"/>
    <w:rsid w:val="004A49DE"/>
    <w:rsid w:val="004A63CD"/>
    <w:rsid w:val="004A6937"/>
    <w:rsid w:val="004A6DDC"/>
    <w:rsid w:val="004A70E1"/>
    <w:rsid w:val="004A765C"/>
    <w:rsid w:val="004A76B3"/>
    <w:rsid w:val="004A7FD1"/>
    <w:rsid w:val="004B006A"/>
    <w:rsid w:val="004B0CD5"/>
    <w:rsid w:val="004B14BC"/>
    <w:rsid w:val="004B16A2"/>
    <w:rsid w:val="004B241E"/>
    <w:rsid w:val="004B2470"/>
    <w:rsid w:val="004B3CB1"/>
    <w:rsid w:val="004B4410"/>
    <w:rsid w:val="004B4470"/>
    <w:rsid w:val="004C103C"/>
    <w:rsid w:val="004C145B"/>
    <w:rsid w:val="004C267D"/>
    <w:rsid w:val="004C3AAC"/>
    <w:rsid w:val="004C47BB"/>
    <w:rsid w:val="004C50B3"/>
    <w:rsid w:val="004C5FC5"/>
    <w:rsid w:val="004C6533"/>
    <w:rsid w:val="004C68B1"/>
    <w:rsid w:val="004C7280"/>
    <w:rsid w:val="004D07FE"/>
    <w:rsid w:val="004D12C2"/>
    <w:rsid w:val="004D2C06"/>
    <w:rsid w:val="004D2F4E"/>
    <w:rsid w:val="004D3FEE"/>
    <w:rsid w:val="004D430D"/>
    <w:rsid w:val="004D4B88"/>
    <w:rsid w:val="004D540F"/>
    <w:rsid w:val="004D60D2"/>
    <w:rsid w:val="004E1721"/>
    <w:rsid w:val="004E17F4"/>
    <w:rsid w:val="004E24F3"/>
    <w:rsid w:val="004E3CE0"/>
    <w:rsid w:val="004E5D92"/>
    <w:rsid w:val="004E7352"/>
    <w:rsid w:val="004E744E"/>
    <w:rsid w:val="004F278E"/>
    <w:rsid w:val="004F532F"/>
    <w:rsid w:val="004F6502"/>
    <w:rsid w:val="004F68CB"/>
    <w:rsid w:val="004F6BCD"/>
    <w:rsid w:val="004F6F68"/>
    <w:rsid w:val="0050145D"/>
    <w:rsid w:val="005021B4"/>
    <w:rsid w:val="00502B4D"/>
    <w:rsid w:val="005042D7"/>
    <w:rsid w:val="005054FF"/>
    <w:rsid w:val="00505BAC"/>
    <w:rsid w:val="005064A2"/>
    <w:rsid w:val="005066C3"/>
    <w:rsid w:val="005077C4"/>
    <w:rsid w:val="005110EB"/>
    <w:rsid w:val="005128CC"/>
    <w:rsid w:val="00512F9E"/>
    <w:rsid w:val="00513282"/>
    <w:rsid w:val="00513364"/>
    <w:rsid w:val="0051371D"/>
    <w:rsid w:val="00513F81"/>
    <w:rsid w:val="005143DF"/>
    <w:rsid w:val="00514919"/>
    <w:rsid w:val="00515D0F"/>
    <w:rsid w:val="0051619C"/>
    <w:rsid w:val="005162F3"/>
    <w:rsid w:val="005164D1"/>
    <w:rsid w:val="00516F97"/>
    <w:rsid w:val="00517BE6"/>
    <w:rsid w:val="00521B09"/>
    <w:rsid w:val="00521DA4"/>
    <w:rsid w:val="0052301C"/>
    <w:rsid w:val="0052342C"/>
    <w:rsid w:val="00524654"/>
    <w:rsid w:val="00525DBE"/>
    <w:rsid w:val="00526C60"/>
    <w:rsid w:val="00532255"/>
    <w:rsid w:val="0053307E"/>
    <w:rsid w:val="00533241"/>
    <w:rsid w:val="0053350C"/>
    <w:rsid w:val="00533C3E"/>
    <w:rsid w:val="00533C64"/>
    <w:rsid w:val="005348B7"/>
    <w:rsid w:val="00534C8C"/>
    <w:rsid w:val="005356AA"/>
    <w:rsid w:val="005359AA"/>
    <w:rsid w:val="00536DD6"/>
    <w:rsid w:val="005375DB"/>
    <w:rsid w:val="005402CB"/>
    <w:rsid w:val="005403C0"/>
    <w:rsid w:val="00540DE8"/>
    <w:rsid w:val="0054185E"/>
    <w:rsid w:val="00541BDD"/>
    <w:rsid w:val="005433F3"/>
    <w:rsid w:val="00544A77"/>
    <w:rsid w:val="00544DE7"/>
    <w:rsid w:val="0054609E"/>
    <w:rsid w:val="00546F59"/>
    <w:rsid w:val="005476B5"/>
    <w:rsid w:val="00547B1D"/>
    <w:rsid w:val="00547E03"/>
    <w:rsid w:val="00550E57"/>
    <w:rsid w:val="00552F29"/>
    <w:rsid w:val="0055330D"/>
    <w:rsid w:val="005535D6"/>
    <w:rsid w:val="00553C02"/>
    <w:rsid w:val="005543DD"/>
    <w:rsid w:val="0055440B"/>
    <w:rsid w:val="00555BAA"/>
    <w:rsid w:val="00557C37"/>
    <w:rsid w:val="00557F74"/>
    <w:rsid w:val="00560D60"/>
    <w:rsid w:val="0056141A"/>
    <w:rsid w:val="00561A1B"/>
    <w:rsid w:val="00563026"/>
    <w:rsid w:val="0056307F"/>
    <w:rsid w:val="005630F3"/>
    <w:rsid w:val="005639E8"/>
    <w:rsid w:val="0056430D"/>
    <w:rsid w:val="00564715"/>
    <w:rsid w:val="00564EE6"/>
    <w:rsid w:val="00565596"/>
    <w:rsid w:val="005661DB"/>
    <w:rsid w:val="00566976"/>
    <w:rsid w:val="00566DF7"/>
    <w:rsid w:val="0057016B"/>
    <w:rsid w:val="00570653"/>
    <w:rsid w:val="00570D8F"/>
    <w:rsid w:val="00572669"/>
    <w:rsid w:val="00573315"/>
    <w:rsid w:val="005749D5"/>
    <w:rsid w:val="00575EC2"/>
    <w:rsid w:val="00576518"/>
    <w:rsid w:val="00577C9C"/>
    <w:rsid w:val="00577D42"/>
    <w:rsid w:val="005819A1"/>
    <w:rsid w:val="00585465"/>
    <w:rsid w:val="005865B8"/>
    <w:rsid w:val="005869B6"/>
    <w:rsid w:val="0058709C"/>
    <w:rsid w:val="00587868"/>
    <w:rsid w:val="00591709"/>
    <w:rsid w:val="005917EE"/>
    <w:rsid w:val="005938E4"/>
    <w:rsid w:val="00593A1C"/>
    <w:rsid w:val="00593EA1"/>
    <w:rsid w:val="00594E1E"/>
    <w:rsid w:val="0059636E"/>
    <w:rsid w:val="005977AD"/>
    <w:rsid w:val="005A1577"/>
    <w:rsid w:val="005A2163"/>
    <w:rsid w:val="005A21C7"/>
    <w:rsid w:val="005A5720"/>
    <w:rsid w:val="005A6C38"/>
    <w:rsid w:val="005A6C7C"/>
    <w:rsid w:val="005A7EBB"/>
    <w:rsid w:val="005B0311"/>
    <w:rsid w:val="005B046E"/>
    <w:rsid w:val="005B0C1C"/>
    <w:rsid w:val="005B0D64"/>
    <w:rsid w:val="005B21BA"/>
    <w:rsid w:val="005B3412"/>
    <w:rsid w:val="005B39A0"/>
    <w:rsid w:val="005B3BE0"/>
    <w:rsid w:val="005B4B3D"/>
    <w:rsid w:val="005B5194"/>
    <w:rsid w:val="005B5B8A"/>
    <w:rsid w:val="005B5D79"/>
    <w:rsid w:val="005B7054"/>
    <w:rsid w:val="005B745E"/>
    <w:rsid w:val="005B7AB2"/>
    <w:rsid w:val="005C00A6"/>
    <w:rsid w:val="005C0182"/>
    <w:rsid w:val="005C2D51"/>
    <w:rsid w:val="005C303A"/>
    <w:rsid w:val="005C727A"/>
    <w:rsid w:val="005C7310"/>
    <w:rsid w:val="005C7410"/>
    <w:rsid w:val="005D007C"/>
    <w:rsid w:val="005D04B7"/>
    <w:rsid w:val="005D2D0B"/>
    <w:rsid w:val="005D31F3"/>
    <w:rsid w:val="005D50B3"/>
    <w:rsid w:val="005D514F"/>
    <w:rsid w:val="005D5A69"/>
    <w:rsid w:val="005D6B05"/>
    <w:rsid w:val="005D6DF9"/>
    <w:rsid w:val="005D7D70"/>
    <w:rsid w:val="005D7E49"/>
    <w:rsid w:val="005E14C9"/>
    <w:rsid w:val="005E1D48"/>
    <w:rsid w:val="005E20DF"/>
    <w:rsid w:val="005E26D0"/>
    <w:rsid w:val="005E2F79"/>
    <w:rsid w:val="005E399D"/>
    <w:rsid w:val="005E42C0"/>
    <w:rsid w:val="005E4E13"/>
    <w:rsid w:val="005E4F29"/>
    <w:rsid w:val="005E6883"/>
    <w:rsid w:val="005E71D2"/>
    <w:rsid w:val="005E7226"/>
    <w:rsid w:val="005F00FA"/>
    <w:rsid w:val="005F0347"/>
    <w:rsid w:val="005F0441"/>
    <w:rsid w:val="005F1325"/>
    <w:rsid w:val="005F2B05"/>
    <w:rsid w:val="005F2C93"/>
    <w:rsid w:val="005F380F"/>
    <w:rsid w:val="005F4D5B"/>
    <w:rsid w:val="005F6282"/>
    <w:rsid w:val="005F6C05"/>
    <w:rsid w:val="005F6FB4"/>
    <w:rsid w:val="005F7C17"/>
    <w:rsid w:val="005F7FEA"/>
    <w:rsid w:val="006006A9"/>
    <w:rsid w:val="00600A64"/>
    <w:rsid w:val="00603508"/>
    <w:rsid w:val="0060358C"/>
    <w:rsid w:val="006057BC"/>
    <w:rsid w:val="006068A6"/>
    <w:rsid w:val="006073B4"/>
    <w:rsid w:val="0060763A"/>
    <w:rsid w:val="00607E67"/>
    <w:rsid w:val="00610AE7"/>
    <w:rsid w:val="00610B2B"/>
    <w:rsid w:val="00611E40"/>
    <w:rsid w:val="00615157"/>
    <w:rsid w:val="00616997"/>
    <w:rsid w:val="00621F9D"/>
    <w:rsid w:val="0062351A"/>
    <w:rsid w:val="00624FE9"/>
    <w:rsid w:val="00625BCA"/>
    <w:rsid w:val="0062683B"/>
    <w:rsid w:val="0062749E"/>
    <w:rsid w:val="0062764C"/>
    <w:rsid w:val="00627FF8"/>
    <w:rsid w:val="00632747"/>
    <w:rsid w:val="00632ADA"/>
    <w:rsid w:val="0063330D"/>
    <w:rsid w:val="006348F3"/>
    <w:rsid w:val="00634BD2"/>
    <w:rsid w:val="00634BE0"/>
    <w:rsid w:val="00634C60"/>
    <w:rsid w:val="00635710"/>
    <w:rsid w:val="00635F93"/>
    <w:rsid w:val="0063753F"/>
    <w:rsid w:val="00642A8E"/>
    <w:rsid w:val="00642F3B"/>
    <w:rsid w:val="0064301A"/>
    <w:rsid w:val="0064347E"/>
    <w:rsid w:val="006436B8"/>
    <w:rsid w:val="0064429D"/>
    <w:rsid w:val="006446A5"/>
    <w:rsid w:val="006455B6"/>
    <w:rsid w:val="00646AA1"/>
    <w:rsid w:val="00646B0E"/>
    <w:rsid w:val="00646E13"/>
    <w:rsid w:val="006477E2"/>
    <w:rsid w:val="0065017C"/>
    <w:rsid w:val="006512CA"/>
    <w:rsid w:val="00652993"/>
    <w:rsid w:val="00653A98"/>
    <w:rsid w:val="00654550"/>
    <w:rsid w:val="006558DC"/>
    <w:rsid w:val="00655FD2"/>
    <w:rsid w:val="0065650C"/>
    <w:rsid w:val="00656968"/>
    <w:rsid w:val="00656D05"/>
    <w:rsid w:val="00657728"/>
    <w:rsid w:val="006608CD"/>
    <w:rsid w:val="00660BB2"/>
    <w:rsid w:val="0066172D"/>
    <w:rsid w:val="0066234B"/>
    <w:rsid w:val="00662A08"/>
    <w:rsid w:val="006643EA"/>
    <w:rsid w:val="006669A0"/>
    <w:rsid w:val="006669E7"/>
    <w:rsid w:val="006679F8"/>
    <w:rsid w:val="00670648"/>
    <w:rsid w:val="00670CD2"/>
    <w:rsid w:val="00671043"/>
    <w:rsid w:val="00671336"/>
    <w:rsid w:val="00671545"/>
    <w:rsid w:val="00671EB3"/>
    <w:rsid w:val="00673796"/>
    <w:rsid w:val="00673B1C"/>
    <w:rsid w:val="00675EC2"/>
    <w:rsid w:val="00675F38"/>
    <w:rsid w:val="00677708"/>
    <w:rsid w:val="00680F83"/>
    <w:rsid w:val="00682324"/>
    <w:rsid w:val="006824EB"/>
    <w:rsid w:val="006829DF"/>
    <w:rsid w:val="00683797"/>
    <w:rsid w:val="00684399"/>
    <w:rsid w:val="00684C2C"/>
    <w:rsid w:val="00684C79"/>
    <w:rsid w:val="00684CE3"/>
    <w:rsid w:val="00686657"/>
    <w:rsid w:val="00686B33"/>
    <w:rsid w:val="00687176"/>
    <w:rsid w:val="006872CC"/>
    <w:rsid w:val="006876E6"/>
    <w:rsid w:val="00687874"/>
    <w:rsid w:val="0069015F"/>
    <w:rsid w:val="00690E22"/>
    <w:rsid w:val="0069209F"/>
    <w:rsid w:val="00693B7A"/>
    <w:rsid w:val="00694124"/>
    <w:rsid w:val="006964A9"/>
    <w:rsid w:val="00696E9B"/>
    <w:rsid w:val="0069754E"/>
    <w:rsid w:val="00697A17"/>
    <w:rsid w:val="006A0478"/>
    <w:rsid w:val="006A04D1"/>
    <w:rsid w:val="006A04F7"/>
    <w:rsid w:val="006A09D5"/>
    <w:rsid w:val="006A14FD"/>
    <w:rsid w:val="006A20F0"/>
    <w:rsid w:val="006A2A00"/>
    <w:rsid w:val="006A4269"/>
    <w:rsid w:val="006A4548"/>
    <w:rsid w:val="006A499A"/>
    <w:rsid w:val="006A4BC6"/>
    <w:rsid w:val="006A5CF8"/>
    <w:rsid w:val="006B02C7"/>
    <w:rsid w:val="006B118A"/>
    <w:rsid w:val="006B12EA"/>
    <w:rsid w:val="006B15C1"/>
    <w:rsid w:val="006B1FB9"/>
    <w:rsid w:val="006B4B0F"/>
    <w:rsid w:val="006B7CA8"/>
    <w:rsid w:val="006C0C78"/>
    <w:rsid w:val="006C257A"/>
    <w:rsid w:val="006C3820"/>
    <w:rsid w:val="006C3CED"/>
    <w:rsid w:val="006C6461"/>
    <w:rsid w:val="006C6FF7"/>
    <w:rsid w:val="006C7C97"/>
    <w:rsid w:val="006C7D96"/>
    <w:rsid w:val="006D050D"/>
    <w:rsid w:val="006D2C9B"/>
    <w:rsid w:val="006D3561"/>
    <w:rsid w:val="006D3746"/>
    <w:rsid w:val="006D3B73"/>
    <w:rsid w:val="006D49E6"/>
    <w:rsid w:val="006D5408"/>
    <w:rsid w:val="006D543D"/>
    <w:rsid w:val="006D6A18"/>
    <w:rsid w:val="006D6BF6"/>
    <w:rsid w:val="006D701D"/>
    <w:rsid w:val="006D7ACA"/>
    <w:rsid w:val="006D7D82"/>
    <w:rsid w:val="006E09CA"/>
    <w:rsid w:val="006E118C"/>
    <w:rsid w:val="006E1EF2"/>
    <w:rsid w:val="006E33C6"/>
    <w:rsid w:val="006E56A0"/>
    <w:rsid w:val="006E7182"/>
    <w:rsid w:val="006E7D4A"/>
    <w:rsid w:val="006F1A24"/>
    <w:rsid w:val="006F2399"/>
    <w:rsid w:val="006F29D8"/>
    <w:rsid w:val="006F2E1C"/>
    <w:rsid w:val="006F38E9"/>
    <w:rsid w:val="006F435C"/>
    <w:rsid w:val="006F4945"/>
    <w:rsid w:val="006F4B87"/>
    <w:rsid w:val="006F557A"/>
    <w:rsid w:val="006F5DBC"/>
    <w:rsid w:val="006F611F"/>
    <w:rsid w:val="006F62C4"/>
    <w:rsid w:val="006F6A2E"/>
    <w:rsid w:val="006F6F7E"/>
    <w:rsid w:val="006F73BA"/>
    <w:rsid w:val="00701C37"/>
    <w:rsid w:val="00702517"/>
    <w:rsid w:val="00703DE9"/>
    <w:rsid w:val="00704B80"/>
    <w:rsid w:val="00705116"/>
    <w:rsid w:val="00705E20"/>
    <w:rsid w:val="00706BD7"/>
    <w:rsid w:val="007108F0"/>
    <w:rsid w:val="00710E09"/>
    <w:rsid w:val="007110BE"/>
    <w:rsid w:val="00711C9F"/>
    <w:rsid w:val="00711F86"/>
    <w:rsid w:val="0071216C"/>
    <w:rsid w:val="00712827"/>
    <w:rsid w:val="007130F7"/>
    <w:rsid w:val="00713517"/>
    <w:rsid w:val="00713FA0"/>
    <w:rsid w:val="00714F7B"/>
    <w:rsid w:val="007156C8"/>
    <w:rsid w:val="007157C1"/>
    <w:rsid w:val="00715A87"/>
    <w:rsid w:val="00715D14"/>
    <w:rsid w:val="0071752B"/>
    <w:rsid w:val="007210A5"/>
    <w:rsid w:val="00721B6B"/>
    <w:rsid w:val="00722881"/>
    <w:rsid w:val="0072510A"/>
    <w:rsid w:val="00725F39"/>
    <w:rsid w:val="0073043B"/>
    <w:rsid w:val="00730686"/>
    <w:rsid w:val="007338FE"/>
    <w:rsid w:val="00734F88"/>
    <w:rsid w:val="00735096"/>
    <w:rsid w:val="007357C3"/>
    <w:rsid w:val="00736426"/>
    <w:rsid w:val="007372A4"/>
    <w:rsid w:val="0074035E"/>
    <w:rsid w:val="00740782"/>
    <w:rsid w:val="00740AC0"/>
    <w:rsid w:val="00741899"/>
    <w:rsid w:val="00743D3C"/>
    <w:rsid w:val="007448D5"/>
    <w:rsid w:val="0074608C"/>
    <w:rsid w:val="007464A0"/>
    <w:rsid w:val="00746C35"/>
    <w:rsid w:val="00747AC5"/>
    <w:rsid w:val="00750CA9"/>
    <w:rsid w:val="00751D50"/>
    <w:rsid w:val="007535DE"/>
    <w:rsid w:val="00754421"/>
    <w:rsid w:val="00756A54"/>
    <w:rsid w:val="00756F15"/>
    <w:rsid w:val="0076079C"/>
    <w:rsid w:val="00760BBE"/>
    <w:rsid w:val="00761840"/>
    <w:rsid w:val="00764EF3"/>
    <w:rsid w:val="00770108"/>
    <w:rsid w:val="007705F7"/>
    <w:rsid w:val="00770D62"/>
    <w:rsid w:val="00770E5F"/>
    <w:rsid w:val="0077249F"/>
    <w:rsid w:val="00772FB3"/>
    <w:rsid w:val="007735C9"/>
    <w:rsid w:val="007747F8"/>
    <w:rsid w:val="007760F0"/>
    <w:rsid w:val="007778C0"/>
    <w:rsid w:val="0078118F"/>
    <w:rsid w:val="00782CC7"/>
    <w:rsid w:val="00783542"/>
    <w:rsid w:val="00785134"/>
    <w:rsid w:val="0078521F"/>
    <w:rsid w:val="00786D78"/>
    <w:rsid w:val="0078721D"/>
    <w:rsid w:val="00791C6C"/>
    <w:rsid w:val="0079242F"/>
    <w:rsid w:val="0079268F"/>
    <w:rsid w:val="007927B1"/>
    <w:rsid w:val="00792D25"/>
    <w:rsid w:val="00793BF7"/>
    <w:rsid w:val="0079403F"/>
    <w:rsid w:val="00794BC4"/>
    <w:rsid w:val="007957A3"/>
    <w:rsid w:val="00795ABC"/>
    <w:rsid w:val="0079743E"/>
    <w:rsid w:val="007A0460"/>
    <w:rsid w:val="007A0DF4"/>
    <w:rsid w:val="007A0E40"/>
    <w:rsid w:val="007A3CCB"/>
    <w:rsid w:val="007A3EDC"/>
    <w:rsid w:val="007A4CDB"/>
    <w:rsid w:val="007A4CE7"/>
    <w:rsid w:val="007A64E0"/>
    <w:rsid w:val="007A73E1"/>
    <w:rsid w:val="007B0347"/>
    <w:rsid w:val="007B046A"/>
    <w:rsid w:val="007B208F"/>
    <w:rsid w:val="007B353D"/>
    <w:rsid w:val="007B35A7"/>
    <w:rsid w:val="007B3705"/>
    <w:rsid w:val="007B393D"/>
    <w:rsid w:val="007B4536"/>
    <w:rsid w:val="007C107A"/>
    <w:rsid w:val="007C12F3"/>
    <w:rsid w:val="007C1F56"/>
    <w:rsid w:val="007C34D8"/>
    <w:rsid w:val="007C3F83"/>
    <w:rsid w:val="007C4266"/>
    <w:rsid w:val="007C44A2"/>
    <w:rsid w:val="007C469E"/>
    <w:rsid w:val="007C56AE"/>
    <w:rsid w:val="007C59A6"/>
    <w:rsid w:val="007C61B1"/>
    <w:rsid w:val="007C70B0"/>
    <w:rsid w:val="007C77F0"/>
    <w:rsid w:val="007C7943"/>
    <w:rsid w:val="007D0B97"/>
    <w:rsid w:val="007D19C9"/>
    <w:rsid w:val="007D1FA5"/>
    <w:rsid w:val="007D22CF"/>
    <w:rsid w:val="007D24DB"/>
    <w:rsid w:val="007D26D8"/>
    <w:rsid w:val="007D52C7"/>
    <w:rsid w:val="007D603C"/>
    <w:rsid w:val="007D6374"/>
    <w:rsid w:val="007D655D"/>
    <w:rsid w:val="007D7165"/>
    <w:rsid w:val="007D7D6C"/>
    <w:rsid w:val="007E342D"/>
    <w:rsid w:val="007E38D7"/>
    <w:rsid w:val="007E4400"/>
    <w:rsid w:val="007E515C"/>
    <w:rsid w:val="007E5189"/>
    <w:rsid w:val="007E6D7A"/>
    <w:rsid w:val="007E7876"/>
    <w:rsid w:val="007E7AAA"/>
    <w:rsid w:val="007F05FC"/>
    <w:rsid w:val="007F09CA"/>
    <w:rsid w:val="007F0FCA"/>
    <w:rsid w:val="007F243F"/>
    <w:rsid w:val="007F3FB3"/>
    <w:rsid w:val="007F4E4F"/>
    <w:rsid w:val="007F4FC6"/>
    <w:rsid w:val="007F5FE3"/>
    <w:rsid w:val="007F76A1"/>
    <w:rsid w:val="0080187F"/>
    <w:rsid w:val="00801B59"/>
    <w:rsid w:val="0080238F"/>
    <w:rsid w:val="00802965"/>
    <w:rsid w:val="008034EE"/>
    <w:rsid w:val="00805683"/>
    <w:rsid w:val="00810B07"/>
    <w:rsid w:val="00811D1D"/>
    <w:rsid w:val="008122FE"/>
    <w:rsid w:val="00813F31"/>
    <w:rsid w:val="00814153"/>
    <w:rsid w:val="0081494B"/>
    <w:rsid w:val="00817000"/>
    <w:rsid w:val="008174CF"/>
    <w:rsid w:val="008177E6"/>
    <w:rsid w:val="0082004C"/>
    <w:rsid w:val="00820668"/>
    <w:rsid w:val="00820EF0"/>
    <w:rsid w:val="00821752"/>
    <w:rsid w:val="00822A9A"/>
    <w:rsid w:val="00822A9C"/>
    <w:rsid w:val="008237F3"/>
    <w:rsid w:val="008239E5"/>
    <w:rsid w:val="0082448B"/>
    <w:rsid w:val="00825458"/>
    <w:rsid w:val="008261F9"/>
    <w:rsid w:val="00827BA2"/>
    <w:rsid w:val="00827BC3"/>
    <w:rsid w:val="00827F01"/>
    <w:rsid w:val="00827F94"/>
    <w:rsid w:val="00831953"/>
    <w:rsid w:val="00832C60"/>
    <w:rsid w:val="00832CB1"/>
    <w:rsid w:val="00833A2B"/>
    <w:rsid w:val="00833E4F"/>
    <w:rsid w:val="00834C69"/>
    <w:rsid w:val="00836B12"/>
    <w:rsid w:val="00837F5E"/>
    <w:rsid w:val="00840DE2"/>
    <w:rsid w:val="008415D4"/>
    <w:rsid w:val="00844C86"/>
    <w:rsid w:val="00844F2B"/>
    <w:rsid w:val="00844F56"/>
    <w:rsid w:val="008450F1"/>
    <w:rsid w:val="00845B30"/>
    <w:rsid w:val="008465B8"/>
    <w:rsid w:val="00846AFA"/>
    <w:rsid w:val="008530FD"/>
    <w:rsid w:val="00855781"/>
    <w:rsid w:val="008561BE"/>
    <w:rsid w:val="0085673F"/>
    <w:rsid w:val="00856974"/>
    <w:rsid w:val="00856F9F"/>
    <w:rsid w:val="008608E6"/>
    <w:rsid w:val="00860DD4"/>
    <w:rsid w:val="00864964"/>
    <w:rsid w:val="0086504E"/>
    <w:rsid w:val="00865587"/>
    <w:rsid w:val="0086579C"/>
    <w:rsid w:val="008660CB"/>
    <w:rsid w:val="00866133"/>
    <w:rsid w:val="00870379"/>
    <w:rsid w:val="00871076"/>
    <w:rsid w:val="008722FE"/>
    <w:rsid w:val="00872C3C"/>
    <w:rsid w:val="00872F5B"/>
    <w:rsid w:val="00873095"/>
    <w:rsid w:val="0087373F"/>
    <w:rsid w:val="00874141"/>
    <w:rsid w:val="008751D5"/>
    <w:rsid w:val="0087702E"/>
    <w:rsid w:val="00877039"/>
    <w:rsid w:val="0088070F"/>
    <w:rsid w:val="00882F25"/>
    <w:rsid w:val="008832BF"/>
    <w:rsid w:val="008837B1"/>
    <w:rsid w:val="008844C3"/>
    <w:rsid w:val="008845D0"/>
    <w:rsid w:val="00884F12"/>
    <w:rsid w:val="00886BA8"/>
    <w:rsid w:val="0089024A"/>
    <w:rsid w:val="00890728"/>
    <w:rsid w:val="00891D4B"/>
    <w:rsid w:val="0089236B"/>
    <w:rsid w:val="00892866"/>
    <w:rsid w:val="00892C5D"/>
    <w:rsid w:val="00893C7F"/>
    <w:rsid w:val="00894605"/>
    <w:rsid w:val="008951BE"/>
    <w:rsid w:val="0089583C"/>
    <w:rsid w:val="00895F42"/>
    <w:rsid w:val="00896762"/>
    <w:rsid w:val="0089716A"/>
    <w:rsid w:val="0089756A"/>
    <w:rsid w:val="0089773E"/>
    <w:rsid w:val="00897E35"/>
    <w:rsid w:val="008A04DD"/>
    <w:rsid w:val="008A0514"/>
    <w:rsid w:val="008A1638"/>
    <w:rsid w:val="008A177D"/>
    <w:rsid w:val="008A227B"/>
    <w:rsid w:val="008A2C77"/>
    <w:rsid w:val="008B1BBA"/>
    <w:rsid w:val="008B2D8D"/>
    <w:rsid w:val="008B2FB4"/>
    <w:rsid w:val="008B39B5"/>
    <w:rsid w:val="008B3C72"/>
    <w:rsid w:val="008B404F"/>
    <w:rsid w:val="008B4FFE"/>
    <w:rsid w:val="008B6E08"/>
    <w:rsid w:val="008B6EE9"/>
    <w:rsid w:val="008C0286"/>
    <w:rsid w:val="008C14FE"/>
    <w:rsid w:val="008C1663"/>
    <w:rsid w:val="008C17BE"/>
    <w:rsid w:val="008C214C"/>
    <w:rsid w:val="008C28EF"/>
    <w:rsid w:val="008C3339"/>
    <w:rsid w:val="008C3B27"/>
    <w:rsid w:val="008C3DD1"/>
    <w:rsid w:val="008C4C84"/>
    <w:rsid w:val="008C50FB"/>
    <w:rsid w:val="008C5165"/>
    <w:rsid w:val="008C51F0"/>
    <w:rsid w:val="008C5D60"/>
    <w:rsid w:val="008C5F1A"/>
    <w:rsid w:val="008D17AD"/>
    <w:rsid w:val="008D21B3"/>
    <w:rsid w:val="008D37E5"/>
    <w:rsid w:val="008D3C68"/>
    <w:rsid w:val="008D4B92"/>
    <w:rsid w:val="008D6FDA"/>
    <w:rsid w:val="008D79C6"/>
    <w:rsid w:val="008E095F"/>
    <w:rsid w:val="008E0E07"/>
    <w:rsid w:val="008E0F73"/>
    <w:rsid w:val="008E10B6"/>
    <w:rsid w:val="008E1BF3"/>
    <w:rsid w:val="008E1EAF"/>
    <w:rsid w:val="008E2B1C"/>
    <w:rsid w:val="008E358B"/>
    <w:rsid w:val="008E3CE9"/>
    <w:rsid w:val="008E4494"/>
    <w:rsid w:val="008E585C"/>
    <w:rsid w:val="008E6091"/>
    <w:rsid w:val="008E6282"/>
    <w:rsid w:val="008E62FE"/>
    <w:rsid w:val="008E7278"/>
    <w:rsid w:val="008F0505"/>
    <w:rsid w:val="008F0BEF"/>
    <w:rsid w:val="008F0CC9"/>
    <w:rsid w:val="008F188D"/>
    <w:rsid w:val="008F189A"/>
    <w:rsid w:val="008F1E00"/>
    <w:rsid w:val="008F4297"/>
    <w:rsid w:val="008F4568"/>
    <w:rsid w:val="008F7467"/>
    <w:rsid w:val="008F7EF7"/>
    <w:rsid w:val="0090154F"/>
    <w:rsid w:val="00901631"/>
    <w:rsid w:val="00901C37"/>
    <w:rsid w:val="0090306F"/>
    <w:rsid w:val="00904F71"/>
    <w:rsid w:val="009052E8"/>
    <w:rsid w:val="00905341"/>
    <w:rsid w:val="009055BA"/>
    <w:rsid w:val="00905D0B"/>
    <w:rsid w:val="00907318"/>
    <w:rsid w:val="00907371"/>
    <w:rsid w:val="009074D5"/>
    <w:rsid w:val="009103D1"/>
    <w:rsid w:val="009106F1"/>
    <w:rsid w:val="009115F7"/>
    <w:rsid w:val="00911B4B"/>
    <w:rsid w:val="00913BE1"/>
    <w:rsid w:val="009146D7"/>
    <w:rsid w:val="00915F93"/>
    <w:rsid w:val="00917FBD"/>
    <w:rsid w:val="00923AEA"/>
    <w:rsid w:val="00924E6E"/>
    <w:rsid w:val="00925469"/>
    <w:rsid w:val="009256A1"/>
    <w:rsid w:val="009256F3"/>
    <w:rsid w:val="00925E25"/>
    <w:rsid w:val="009304F7"/>
    <w:rsid w:val="00931043"/>
    <w:rsid w:val="009358E1"/>
    <w:rsid w:val="00935A49"/>
    <w:rsid w:val="00940762"/>
    <w:rsid w:val="0094283F"/>
    <w:rsid w:val="00943E44"/>
    <w:rsid w:val="00944F71"/>
    <w:rsid w:val="009466A2"/>
    <w:rsid w:val="00950412"/>
    <w:rsid w:val="00951624"/>
    <w:rsid w:val="00951D1F"/>
    <w:rsid w:val="00952EAD"/>
    <w:rsid w:val="009536C2"/>
    <w:rsid w:val="00953C52"/>
    <w:rsid w:val="00953E72"/>
    <w:rsid w:val="0095591E"/>
    <w:rsid w:val="009559B5"/>
    <w:rsid w:val="00956096"/>
    <w:rsid w:val="00956746"/>
    <w:rsid w:val="009578E5"/>
    <w:rsid w:val="00957A08"/>
    <w:rsid w:val="00960CE4"/>
    <w:rsid w:val="00960D05"/>
    <w:rsid w:val="0096340F"/>
    <w:rsid w:val="00964368"/>
    <w:rsid w:val="00964D21"/>
    <w:rsid w:val="00966E35"/>
    <w:rsid w:val="0096735F"/>
    <w:rsid w:val="0097018A"/>
    <w:rsid w:val="009702D9"/>
    <w:rsid w:val="00970357"/>
    <w:rsid w:val="00971F3A"/>
    <w:rsid w:val="009728A0"/>
    <w:rsid w:val="00972A9F"/>
    <w:rsid w:val="00973002"/>
    <w:rsid w:val="009731A3"/>
    <w:rsid w:val="009743F3"/>
    <w:rsid w:val="0097566B"/>
    <w:rsid w:val="009757CA"/>
    <w:rsid w:val="00975CBD"/>
    <w:rsid w:val="00976635"/>
    <w:rsid w:val="00977B04"/>
    <w:rsid w:val="00977D81"/>
    <w:rsid w:val="00980047"/>
    <w:rsid w:val="0098180F"/>
    <w:rsid w:val="009819E0"/>
    <w:rsid w:val="0098272D"/>
    <w:rsid w:val="00982D63"/>
    <w:rsid w:val="00982F8C"/>
    <w:rsid w:val="009839B1"/>
    <w:rsid w:val="0098463A"/>
    <w:rsid w:val="00985079"/>
    <w:rsid w:val="009862B9"/>
    <w:rsid w:val="00986CC4"/>
    <w:rsid w:val="00990213"/>
    <w:rsid w:val="0099083A"/>
    <w:rsid w:val="00990F7F"/>
    <w:rsid w:val="00992D22"/>
    <w:rsid w:val="00995806"/>
    <w:rsid w:val="00996134"/>
    <w:rsid w:val="0099661C"/>
    <w:rsid w:val="009977D0"/>
    <w:rsid w:val="00997F9D"/>
    <w:rsid w:val="009A0B8F"/>
    <w:rsid w:val="009A205A"/>
    <w:rsid w:val="009A2110"/>
    <w:rsid w:val="009A32DD"/>
    <w:rsid w:val="009A3D0D"/>
    <w:rsid w:val="009A5D82"/>
    <w:rsid w:val="009B09AC"/>
    <w:rsid w:val="009B0CC1"/>
    <w:rsid w:val="009B19BB"/>
    <w:rsid w:val="009B1EEE"/>
    <w:rsid w:val="009B364D"/>
    <w:rsid w:val="009B3DD3"/>
    <w:rsid w:val="009B53DE"/>
    <w:rsid w:val="009B5F1F"/>
    <w:rsid w:val="009B6C24"/>
    <w:rsid w:val="009B77A0"/>
    <w:rsid w:val="009B7D55"/>
    <w:rsid w:val="009C1048"/>
    <w:rsid w:val="009C1969"/>
    <w:rsid w:val="009C1BE9"/>
    <w:rsid w:val="009C4FDF"/>
    <w:rsid w:val="009C7D53"/>
    <w:rsid w:val="009D0020"/>
    <w:rsid w:val="009D0061"/>
    <w:rsid w:val="009D0935"/>
    <w:rsid w:val="009D0DB8"/>
    <w:rsid w:val="009D1136"/>
    <w:rsid w:val="009D1449"/>
    <w:rsid w:val="009D25DA"/>
    <w:rsid w:val="009E02FD"/>
    <w:rsid w:val="009E0BF1"/>
    <w:rsid w:val="009E1AD7"/>
    <w:rsid w:val="009E2FD2"/>
    <w:rsid w:val="009E5BFC"/>
    <w:rsid w:val="009E75D6"/>
    <w:rsid w:val="009F2325"/>
    <w:rsid w:val="009F2DBC"/>
    <w:rsid w:val="009F3164"/>
    <w:rsid w:val="009F3441"/>
    <w:rsid w:val="009F353F"/>
    <w:rsid w:val="009F3DE3"/>
    <w:rsid w:val="009F4D6F"/>
    <w:rsid w:val="009F6171"/>
    <w:rsid w:val="009F696A"/>
    <w:rsid w:val="009F6CCF"/>
    <w:rsid w:val="009F7388"/>
    <w:rsid w:val="009F7C64"/>
    <w:rsid w:val="00A00E42"/>
    <w:rsid w:val="00A00E6F"/>
    <w:rsid w:val="00A01713"/>
    <w:rsid w:val="00A01B97"/>
    <w:rsid w:val="00A021A4"/>
    <w:rsid w:val="00A0260C"/>
    <w:rsid w:val="00A03578"/>
    <w:rsid w:val="00A03CB8"/>
    <w:rsid w:val="00A0415F"/>
    <w:rsid w:val="00A04859"/>
    <w:rsid w:val="00A07134"/>
    <w:rsid w:val="00A107EF"/>
    <w:rsid w:val="00A108E4"/>
    <w:rsid w:val="00A10E47"/>
    <w:rsid w:val="00A111DE"/>
    <w:rsid w:val="00A11606"/>
    <w:rsid w:val="00A14286"/>
    <w:rsid w:val="00A14E12"/>
    <w:rsid w:val="00A14E2B"/>
    <w:rsid w:val="00A17117"/>
    <w:rsid w:val="00A200C1"/>
    <w:rsid w:val="00A2294E"/>
    <w:rsid w:val="00A234F5"/>
    <w:rsid w:val="00A23FD4"/>
    <w:rsid w:val="00A24154"/>
    <w:rsid w:val="00A257E6"/>
    <w:rsid w:val="00A25B15"/>
    <w:rsid w:val="00A260A3"/>
    <w:rsid w:val="00A268E8"/>
    <w:rsid w:val="00A30F24"/>
    <w:rsid w:val="00A3115D"/>
    <w:rsid w:val="00A3136A"/>
    <w:rsid w:val="00A31917"/>
    <w:rsid w:val="00A3223C"/>
    <w:rsid w:val="00A3234A"/>
    <w:rsid w:val="00A3285F"/>
    <w:rsid w:val="00A32B24"/>
    <w:rsid w:val="00A3346B"/>
    <w:rsid w:val="00A34263"/>
    <w:rsid w:val="00A34662"/>
    <w:rsid w:val="00A35BB6"/>
    <w:rsid w:val="00A35D66"/>
    <w:rsid w:val="00A362EC"/>
    <w:rsid w:val="00A37D28"/>
    <w:rsid w:val="00A426B6"/>
    <w:rsid w:val="00A43ADC"/>
    <w:rsid w:val="00A43C0F"/>
    <w:rsid w:val="00A43CBD"/>
    <w:rsid w:val="00A516BC"/>
    <w:rsid w:val="00A53A2F"/>
    <w:rsid w:val="00A53CBE"/>
    <w:rsid w:val="00A54F46"/>
    <w:rsid w:val="00A56305"/>
    <w:rsid w:val="00A56544"/>
    <w:rsid w:val="00A56A99"/>
    <w:rsid w:val="00A60D55"/>
    <w:rsid w:val="00A62D56"/>
    <w:rsid w:val="00A62DA4"/>
    <w:rsid w:val="00A632EB"/>
    <w:rsid w:val="00A6424E"/>
    <w:rsid w:val="00A66296"/>
    <w:rsid w:val="00A67585"/>
    <w:rsid w:val="00A6785B"/>
    <w:rsid w:val="00A70263"/>
    <w:rsid w:val="00A7035E"/>
    <w:rsid w:val="00A70760"/>
    <w:rsid w:val="00A71890"/>
    <w:rsid w:val="00A74B1B"/>
    <w:rsid w:val="00A74D25"/>
    <w:rsid w:val="00A75A21"/>
    <w:rsid w:val="00A76D31"/>
    <w:rsid w:val="00A81501"/>
    <w:rsid w:val="00A82F37"/>
    <w:rsid w:val="00A837AC"/>
    <w:rsid w:val="00A837E1"/>
    <w:rsid w:val="00A83E33"/>
    <w:rsid w:val="00A8482E"/>
    <w:rsid w:val="00A85C26"/>
    <w:rsid w:val="00A86480"/>
    <w:rsid w:val="00A86F2A"/>
    <w:rsid w:val="00A874DA"/>
    <w:rsid w:val="00A87C03"/>
    <w:rsid w:val="00A90640"/>
    <w:rsid w:val="00A912B2"/>
    <w:rsid w:val="00A9141C"/>
    <w:rsid w:val="00A922F7"/>
    <w:rsid w:val="00A93041"/>
    <w:rsid w:val="00A9319E"/>
    <w:rsid w:val="00A931B4"/>
    <w:rsid w:val="00A948C6"/>
    <w:rsid w:val="00A948D3"/>
    <w:rsid w:val="00A94D15"/>
    <w:rsid w:val="00A94DAC"/>
    <w:rsid w:val="00A95138"/>
    <w:rsid w:val="00A95225"/>
    <w:rsid w:val="00A95BC3"/>
    <w:rsid w:val="00A96EDE"/>
    <w:rsid w:val="00A9717E"/>
    <w:rsid w:val="00AA07F4"/>
    <w:rsid w:val="00AA0BAA"/>
    <w:rsid w:val="00AA0F7C"/>
    <w:rsid w:val="00AA0FBA"/>
    <w:rsid w:val="00AA1135"/>
    <w:rsid w:val="00AA1E9D"/>
    <w:rsid w:val="00AA2286"/>
    <w:rsid w:val="00AA2509"/>
    <w:rsid w:val="00AA3FEB"/>
    <w:rsid w:val="00AA40F4"/>
    <w:rsid w:val="00AA64A3"/>
    <w:rsid w:val="00AA6CC3"/>
    <w:rsid w:val="00AA6E3E"/>
    <w:rsid w:val="00AA7817"/>
    <w:rsid w:val="00AA7B75"/>
    <w:rsid w:val="00AB0111"/>
    <w:rsid w:val="00AB0B5B"/>
    <w:rsid w:val="00AB13F8"/>
    <w:rsid w:val="00AB2FE4"/>
    <w:rsid w:val="00AB7590"/>
    <w:rsid w:val="00AB7857"/>
    <w:rsid w:val="00AC0D22"/>
    <w:rsid w:val="00AC0D61"/>
    <w:rsid w:val="00AC299E"/>
    <w:rsid w:val="00AC29E6"/>
    <w:rsid w:val="00AC3D30"/>
    <w:rsid w:val="00AC596D"/>
    <w:rsid w:val="00AC7101"/>
    <w:rsid w:val="00AC73CB"/>
    <w:rsid w:val="00AC79E4"/>
    <w:rsid w:val="00AC7D20"/>
    <w:rsid w:val="00AC7FA5"/>
    <w:rsid w:val="00AD2A9D"/>
    <w:rsid w:val="00AD36DB"/>
    <w:rsid w:val="00AD4C33"/>
    <w:rsid w:val="00AD5CED"/>
    <w:rsid w:val="00AD5D74"/>
    <w:rsid w:val="00AD737F"/>
    <w:rsid w:val="00AD7F95"/>
    <w:rsid w:val="00AE0BE2"/>
    <w:rsid w:val="00AE0E48"/>
    <w:rsid w:val="00AE1440"/>
    <w:rsid w:val="00AE16CD"/>
    <w:rsid w:val="00AE2D43"/>
    <w:rsid w:val="00AE3067"/>
    <w:rsid w:val="00AE58FC"/>
    <w:rsid w:val="00AE6373"/>
    <w:rsid w:val="00AE76DF"/>
    <w:rsid w:val="00AE798E"/>
    <w:rsid w:val="00AF17B0"/>
    <w:rsid w:val="00AF1C31"/>
    <w:rsid w:val="00AF25B4"/>
    <w:rsid w:val="00AF2F18"/>
    <w:rsid w:val="00AF3488"/>
    <w:rsid w:val="00AF62E8"/>
    <w:rsid w:val="00AF6BE8"/>
    <w:rsid w:val="00AF7CB8"/>
    <w:rsid w:val="00B00AC4"/>
    <w:rsid w:val="00B02C4B"/>
    <w:rsid w:val="00B037CB"/>
    <w:rsid w:val="00B03F79"/>
    <w:rsid w:val="00B04C32"/>
    <w:rsid w:val="00B05018"/>
    <w:rsid w:val="00B057E0"/>
    <w:rsid w:val="00B05F70"/>
    <w:rsid w:val="00B0610E"/>
    <w:rsid w:val="00B064DA"/>
    <w:rsid w:val="00B076A3"/>
    <w:rsid w:val="00B07811"/>
    <w:rsid w:val="00B07C83"/>
    <w:rsid w:val="00B1011D"/>
    <w:rsid w:val="00B1147F"/>
    <w:rsid w:val="00B11D9B"/>
    <w:rsid w:val="00B12752"/>
    <w:rsid w:val="00B12B64"/>
    <w:rsid w:val="00B12F44"/>
    <w:rsid w:val="00B14334"/>
    <w:rsid w:val="00B1444E"/>
    <w:rsid w:val="00B14789"/>
    <w:rsid w:val="00B155C3"/>
    <w:rsid w:val="00B158D3"/>
    <w:rsid w:val="00B15CD7"/>
    <w:rsid w:val="00B167AB"/>
    <w:rsid w:val="00B16E2D"/>
    <w:rsid w:val="00B17026"/>
    <w:rsid w:val="00B179F9"/>
    <w:rsid w:val="00B2037F"/>
    <w:rsid w:val="00B207EC"/>
    <w:rsid w:val="00B213E9"/>
    <w:rsid w:val="00B22458"/>
    <w:rsid w:val="00B22EE9"/>
    <w:rsid w:val="00B23D32"/>
    <w:rsid w:val="00B24303"/>
    <w:rsid w:val="00B24D11"/>
    <w:rsid w:val="00B24F10"/>
    <w:rsid w:val="00B25E01"/>
    <w:rsid w:val="00B264E9"/>
    <w:rsid w:val="00B26586"/>
    <w:rsid w:val="00B278EE"/>
    <w:rsid w:val="00B3181C"/>
    <w:rsid w:val="00B32222"/>
    <w:rsid w:val="00B33BCC"/>
    <w:rsid w:val="00B3453F"/>
    <w:rsid w:val="00B365F0"/>
    <w:rsid w:val="00B36845"/>
    <w:rsid w:val="00B37711"/>
    <w:rsid w:val="00B379AF"/>
    <w:rsid w:val="00B4265E"/>
    <w:rsid w:val="00B4359D"/>
    <w:rsid w:val="00B443EC"/>
    <w:rsid w:val="00B45AAF"/>
    <w:rsid w:val="00B45AD3"/>
    <w:rsid w:val="00B45F30"/>
    <w:rsid w:val="00B461DD"/>
    <w:rsid w:val="00B46448"/>
    <w:rsid w:val="00B474E7"/>
    <w:rsid w:val="00B50778"/>
    <w:rsid w:val="00B50789"/>
    <w:rsid w:val="00B5184F"/>
    <w:rsid w:val="00B5331B"/>
    <w:rsid w:val="00B53D2A"/>
    <w:rsid w:val="00B5581E"/>
    <w:rsid w:val="00B56EF0"/>
    <w:rsid w:val="00B57928"/>
    <w:rsid w:val="00B60037"/>
    <w:rsid w:val="00B60B7B"/>
    <w:rsid w:val="00B60FA8"/>
    <w:rsid w:val="00B61182"/>
    <w:rsid w:val="00B621FB"/>
    <w:rsid w:val="00B632D6"/>
    <w:rsid w:val="00B633B5"/>
    <w:rsid w:val="00B64462"/>
    <w:rsid w:val="00B65B66"/>
    <w:rsid w:val="00B65DFD"/>
    <w:rsid w:val="00B700E5"/>
    <w:rsid w:val="00B703C7"/>
    <w:rsid w:val="00B70B85"/>
    <w:rsid w:val="00B70DF8"/>
    <w:rsid w:val="00B711A5"/>
    <w:rsid w:val="00B7207D"/>
    <w:rsid w:val="00B7329E"/>
    <w:rsid w:val="00B7335B"/>
    <w:rsid w:val="00B74D66"/>
    <w:rsid w:val="00B77F56"/>
    <w:rsid w:val="00B803CF"/>
    <w:rsid w:val="00B81BD2"/>
    <w:rsid w:val="00B82052"/>
    <w:rsid w:val="00B84054"/>
    <w:rsid w:val="00B847FE"/>
    <w:rsid w:val="00B85279"/>
    <w:rsid w:val="00B85479"/>
    <w:rsid w:val="00B85904"/>
    <w:rsid w:val="00B85BED"/>
    <w:rsid w:val="00B8783C"/>
    <w:rsid w:val="00B90CA9"/>
    <w:rsid w:val="00B91466"/>
    <w:rsid w:val="00B9214D"/>
    <w:rsid w:val="00B92251"/>
    <w:rsid w:val="00B92A49"/>
    <w:rsid w:val="00B93D7D"/>
    <w:rsid w:val="00B94A5C"/>
    <w:rsid w:val="00B95E43"/>
    <w:rsid w:val="00B964BB"/>
    <w:rsid w:val="00B96A51"/>
    <w:rsid w:val="00BA12E1"/>
    <w:rsid w:val="00BA2253"/>
    <w:rsid w:val="00BA26B3"/>
    <w:rsid w:val="00BA3392"/>
    <w:rsid w:val="00BA4E2F"/>
    <w:rsid w:val="00BA560B"/>
    <w:rsid w:val="00BA5CC1"/>
    <w:rsid w:val="00BA6EC5"/>
    <w:rsid w:val="00BA723C"/>
    <w:rsid w:val="00BA75DE"/>
    <w:rsid w:val="00BB0342"/>
    <w:rsid w:val="00BB0952"/>
    <w:rsid w:val="00BB0F97"/>
    <w:rsid w:val="00BB1B16"/>
    <w:rsid w:val="00BB2309"/>
    <w:rsid w:val="00BB2773"/>
    <w:rsid w:val="00BB29C9"/>
    <w:rsid w:val="00BB394F"/>
    <w:rsid w:val="00BB3A06"/>
    <w:rsid w:val="00BB5586"/>
    <w:rsid w:val="00BB62E8"/>
    <w:rsid w:val="00BB6D82"/>
    <w:rsid w:val="00BB710F"/>
    <w:rsid w:val="00BB7849"/>
    <w:rsid w:val="00BB7C52"/>
    <w:rsid w:val="00BB7D8F"/>
    <w:rsid w:val="00BC0F76"/>
    <w:rsid w:val="00BC1544"/>
    <w:rsid w:val="00BC1A73"/>
    <w:rsid w:val="00BC1B8F"/>
    <w:rsid w:val="00BC2AD7"/>
    <w:rsid w:val="00BC3490"/>
    <w:rsid w:val="00BC4392"/>
    <w:rsid w:val="00BC61E0"/>
    <w:rsid w:val="00BC6225"/>
    <w:rsid w:val="00BC6736"/>
    <w:rsid w:val="00BC678F"/>
    <w:rsid w:val="00BC6B85"/>
    <w:rsid w:val="00BC6E52"/>
    <w:rsid w:val="00BC6FE3"/>
    <w:rsid w:val="00BC7D1E"/>
    <w:rsid w:val="00BD0B62"/>
    <w:rsid w:val="00BD0EB5"/>
    <w:rsid w:val="00BD15C8"/>
    <w:rsid w:val="00BD1C3B"/>
    <w:rsid w:val="00BD1C4A"/>
    <w:rsid w:val="00BD3D6F"/>
    <w:rsid w:val="00BD45C3"/>
    <w:rsid w:val="00BD49C1"/>
    <w:rsid w:val="00BD4CCA"/>
    <w:rsid w:val="00BD55B1"/>
    <w:rsid w:val="00BD5813"/>
    <w:rsid w:val="00BD5B88"/>
    <w:rsid w:val="00BD5E77"/>
    <w:rsid w:val="00BD659D"/>
    <w:rsid w:val="00BD67FA"/>
    <w:rsid w:val="00BE1984"/>
    <w:rsid w:val="00BE1ED3"/>
    <w:rsid w:val="00BE2C3F"/>
    <w:rsid w:val="00BE34C9"/>
    <w:rsid w:val="00BE371C"/>
    <w:rsid w:val="00BE3AC1"/>
    <w:rsid w:val="00BE45B2"/>
    <w:rsid w:val="00BE4BD6"/>
    <w:rsid w:val="00BE4CC0"/>
    <w:rsid w:val="00BE691F"/>
    <w:rsid w:val="00BE6937"/>
    <w:rsid w:val="00BE6D6C"/>
    <w:rsid w:val="00BF00BA"/>
    <w:rsid w:val="00BF1011"/>
    <w:rsid w:val="00BF3F67"/>
    <w:rsid w:val="00BF4088"/>
    <w:rsid w:val="00BF4223"/>
    <w:rsid w:val="00BF68ED"/>
    <w:rsid w:val="00BF698C"/>
    <w:rsid w:val="00BF6D66"/>
    <w:rsid w:val="00C00CB4"/>
    <w:rsid w:val="00C01EC5"/>
    <w:rsid w:val="00C01EDB"/>
    <w:rsid w:val="00C02F06"/>
    <w:rsid w:val="00C036A9"/>
    <w:rsid w:val="00C046A0"/>
    <w:rsid w:val="00C04A9B"/>
    <w:rsid w:val="00C0562E"/>
    <w:rsid w:val="00C1052B"/>
    <w:rsid w:val="00C10E84"/>
    <w:rsid w:val="00C11BBF"/>
    <w:rsid w:val="00C133AD"/>
    <w:rsid w:val="00C15EE2"/>
    <w:rsid w:val="00C161A0"/>
    <w:rsid w:val="00C1670B"/>
    <w:rsid w:val="00C16C4D"/>
    <w:rsid w:val="00C16EF5"/>
    <w:rsid w:val="00C17237"/>
    <w:rsid w:val="00C20A31"/>
    <w:rsid w:val="00C21760"/>
    <w:rsid w:val="00C218F0"/>
    <w:rsid w:val="00C225C5"/>
    <w:rsid w:val="00C2296E"/>
    <w:rsid w:val="00C22B21"/>
    <w:rsid w:val="00C231B1"/>
    <w:rsid w:val="00C23A7F"/>
    <w:rsid w:val="00C25F26"/>
    <w:rsid w:val="00C2701E"/>
    <w:rsid w:val="00C2772F"/>
    <w:rsid w:val="00C27F64"/>
    <w:rsid w:val="00C309B3"/>
    <w:rsid w:val="00C31516"/>
    <w:rsid w:val="00C32183"/>
    <w:rsid w:val="00C32EC4"/>
    <w:rsid w:val="00C33C3A"/>
    <w:rsid w:val="00C35339"/>
    <w:rsid w:val="00C37C60"/>
    <w:rsid w:val="00C37D0F"/>
    <w:rsid w:val="00C40FBC"/>
    <w:rsid w:val="00C4175A"/>
    <w:rsid w:val="00C41D73"/>
    <w:rsid w:val="00C42859"/>
    <w:rsid w:val="00C43A0E"/>
    <w:rsid w:val="00C44091"/>
    <w:rsid w:val="00C4544A"/>
    <w:rsid w:val="00C45479"/>
    <w:rsid w:val="00C45C2D"/>
    <w:rsid w:val="00C46EBE"/>
    <w:rsid w:val="00C4799E"/>
    <w:rsid w:val="00C506FB"/>
    <w:rsid w:val="00C50EDE"/>
    <w:rsid w:val="00C51DC4"/>
    <w:rsid w:val="00C52301"/>
    <w:rsid w:val="00C53998"/>
    <w:rsid w:val="00C53C48"/>
    <w:rsid w:val="00C54928"/>
    <w:rsid w:val="00C55F8A"/>
    <w:rsid w:val="00C56775"/>
    <w:rsid w:val="00C5679A"/>
    <w:rsid w:val="00C572B2"/>
    <w:rsid w:val="00C60FC1"/>
    <w:rsid w:val="00C6257E"/>
    <w:rsid w:val="00C645AA"/>
    <w:rsid w:val="00C6468E"/>
    <w:rsid w:val="00C67F0F"/>
    <w:rsid w:val="00C71156"/>
    <w:rsid w:val="00C7119F"/>
    <w:rsid w:val="00C713C0"/>
    <w:rsid w:val="00C730AC"/>
    <w:rsid w:val="00C736B1"/>
    <w:rsid w:val="00C76314"/>
    <w:rsid w:val="00C76EFA"/>
    <w:rsid w:val="00C825CB"/>
    <w:rsid w:val="00C82CE6"/>
    <w:rsid w:val="00C860E3"/>
    <w:rsid w:val="00C8662E"/>
    <w:rsid w:val="00C90502"/>
    <w:rsid w:val="00C92291"/>
    <w:rsid w:val="00C92888"/>
    <w:rsid w:val="00C936F2"/>
    <w:rsid w:val="00C94200"/>
    <w:rsid w:val="00C94366"/>
    <w:rsid w:val="00C94630"/>
    <w:rsid w:val="00C949EB"/>
    <w:rsid w:val="00C95686"/>
    <w:rsid w:val="00C96357"/>
    <w:rsid w:val="00C9702A"/>
    <w:rsid w:val="00C97B16"/>
    <w:rsid w:val="00CA16DB"/>
    <w:rsid w:val="00CA2982"/>
    <w:rsid w:val="00CA2C0C"/>
    <w:rsid w:val="00CA42F9"/>
    <w:rsid w:val="00CA48D6"/>
    <w:rsid w:val="00CA49FB"/>
    <w:rsid w:val="00CA4FF3"/>
    <w:rsid w:val="00CA5132"/>
    <w:rsid w:val="00CA7530"/>
    <w:rsid w:val="00CA7E60"/>
    <w:rsid w:val="00CB0969"/>
    <w:rsid w:val="00CB11DB"/>
    <w:rsid w:val="00CB18E5"/>
    <w:rsid w:val="00CB2125"/>
    <w:rsid w:val="00CB24E2"/>
    <w:rsid w:val="00CB2F16"/>
    <w:rsid w:val="00CB3050"/>
    <w:rsid w:val="00CB3526"/>
    <w:rsid w:val="00CB4460"/>
    <w:rsid w:val="00CB4871"/>
    <w:rsid w:val="00CC516D"/>
    <w:rsid w:val="00CD01B3"/>
    <w:rsid w:val="00CD05FB"/>
    <w:rsid w:val="00CD1A98"/>
    <w:rsid w:val="00CD227F"/>
    <w:rsid w:val="00CD299D"/>
    <w:rsid w:val="00CD380B"/>
    <w:rsid w:val="00CD3BDC"/>
    <w:rsid w:val="00CD40D5"/>
    <w:rsid w:val="00CD6024"/>
    <w:rsid w:val="00CD7753"/>
    <w:rsid w:val="00CE06DD"/>
    <w:rsid w:val="00CE0B3F"/>
    <w:rsid w:val="00CE14C1"/>
    <w:rsid w:val="00CE1F00"/>
    <w:rsid w:val="00CE28BA"/>
    <w:rsid w:val="00CE39B6"/>
    <w:rsid w:val="00CE4C76"/>
    <w:rsid w:val="00CE5371"/>
    <w:rsid w:val="00CE558B"/>
    <w:rsid w:val="00CE619D"/>
    <w:rsid w:val="00CE7881"/>
    <w:rsid w:val="00CF1BFD"/>
    <w:rsid w:val="00CF21A7"/>
    <w:rsid w:val="00CF33AB"/>
    <w:rsid w:val="00CF58D2"/>
    <w:rsid w:val="00CF69CC"/>
    <w:rsid w:val="00CF6F6D"/>
    <w:rsid w:val="00CF76B7"/>
    <w:rsid w:val="00D0179A"/>
    <w:rsid w:val="00D01BD8"/>
    <w:rsid w:val="00D03058"/>
    <w:rsid w:val="00D037EA"/>
    <w:rsid w:val="00D03F69"/>
    <w:rsid w:val="00D05632"/>
    <w:rsid w:val="00D0617D"/>
    <w:rsid w:val="00D069FE"/>
    <w:rsid w:val="00D070EE"/>
    <w:rsid w:val="00D10480"/>
    <w:rsid w:val="00D13265"/>
    <w:rsid w:val="00D13815"/>
    <w:rsid w:val="00D16F53"/>
    <w:rsid w:val="00D173E4"/>
    <w:rsid w:val="00D17517"/>
    <w:rsid w:val="00D20CAE"/>
    <w:rsid w:val="00D2229F"/>
    <w:rsid w:val="00D22AB1"/>
    <w:rsid w:val="00D22C8B"/>
    <w:rsid w:val="00D22DED"/>
    <w:rsid w:val="00D22E72"/>
    <w:rsid w:val="00D231CF"/>
    <w:rsid w:val="00D24098"/>
    <w:rsid w:val="00D244B3"/>
    <w:rsid w:val="00D248E2"/>
    <w:rsid w:val="00D25483"/>
    <w:rsid w:val="00D2794C"/>
    <w:rsid w:val="00D308C8"/>
    <w:rsid w:val="00D3123C"/>
    <w:rsid w:val="00D314CE"/>
    <w:rsid w:val="00D353C2"/>
    <w:rsid w:val="00D35844"/>
    <w:rsid w:val="00D364AE"/>
    <w:rsid w:val="00D36EA4"/>
    <w:rsid w:val="00D37288"/>
    <w:rsid w:val="00D37525"/>
    <w:rsid w:val="00D37C04"/>
    <w:rsid w:val="00D40BD6"/>
    <w:rsid w:val="00D4211E"/>
    <w:rsid w:val="00D43F5C"/>
    <w:rsid w:val="00D44131"/>
    <w:rsid w:val="00D44275"/>
    <w:rsid w:val="00D44D95"/>
    <w:rsid w:val="00D460AD"/>
    <w:rsid w:val="00D46DCA"/>
    <w:rsid w:val="00D473E7"/>
    <w:rsid w:val="00D47730"/>
    <w:rsid w:val="00D47C0F"/>
    <w:rsid w:val="00D50FEF"/>
    <w:rsid w:val="00D51BD6"/>
    <w:rsid w:val="00D53C20"/>
    <w:rsid w:val="00D54C68"/>
    <w:rsid w:val="00D55E0C"/>
    <w:rsid w:val="00D6068C"/>
    <w:rsid w:val="00D61A4E"/>
    <w:rsid w:val="00D620BC"/>
    <w:rsid w:val="00D62148"/>
    <w:rsid w:val="00D64977"/>
    <w:rsid w:val="00D66090"/>
    <w:rsid w:val="00D66249"/>
    <w:rsid w:val="00D67ED3"/>
    <w:rsid w:val="00D67F8C"/>
    <w:rsid w:val="00D70440"/>
    <w:rsid w:val="00D71354"/>
    <w:rsid w:val="00D71437"/>
    <w:rsid w:val="00D71928"/>
    <w:rsid w:val="00D71B16"/>
    <w:rsid w:val="00D72C3C"/>
    <w:rsid w:val="00D72CC6"/>
    <w:rsid w:val="00D73134"/>
    <w:rsid w:val="00D7369C"/>
    <w:rsid w:val="00D73C1C"/>
    <w:rsid w:val="00D73FB6"/>
    <w:rsid w:val="00D74889"/>
    <w:rsid w:val="00D764FE"/>
    <w:rsid w:val="00D76FA1"/>
    <w:rsid w:val="00D77DEA"/>
    <w:rsid w:val="00D80AFB"/>
    <w:rsid w:val="00D80F9A"/>
    <w:rsid w:val="00D8267D"/>
    <w:rsid w:val="00D82765"/>
    <w:rsid w:val="00D835AF"/>
    <w:rsid w:val="00D83913"/>
    <w:rsid w:val="00D844BB"/>
    <w:rsid w:val="00D84BBB"/>
    <w:rsid w:val="00D8538A"/>
    <w:rsid w:val="00D85949"/>
    <w:rsid w:val="00D859B7"/>
    <w:rsid w:val="00D90722"/>
    <w:rsid w:val="00D909F6"/>
    <w:rsid w:val="00D91987"/>
    <w:rsid w:val="00D919CB"/>
    <w:rsid w:val="00D92315"/>
    <w:rsid w:val="00D93AAC"/>
    <w:rsid w:val="00D93EF0"/>
    <w:rsid w:val="00D93F23"/>
    <w:rsid w:val="00D95805"/>
    <w:rsid w:val="00D95F5B"/>
    <w:rsid w:val="00D97664"/>
    <w:rsid w:val="00DA056A"/>
    <w:rsid w:val="00DA3DA2"/>
    <w:rsid w:val="00DA4776"/>
    <w:rsid w:val="00DA61AE"/>
    <w:rsid w:val="00DA77C1"/>
    <w:rsid w:val="00DA794B"/>
    <w:rsid w:val="00DB002A"/>
    <w:rsid w:val="00DB0060"/>
    <w:rsid w:val="00DB0625"/>
    <w:rsid w:val="00DB19D2"/>
    <w:rsid w:val="00DB2A58"/>
    <w:rsid w:val="00DB3BF8"/>
    <w:rsid w:val="00DB458F"/>
    <w:rsid w:val="00DB59F1"/>
    <w:rsid w:val="00DB6667"/>
    <w:rsid w:val="00DB6785"/>
    <w:rsid w:val="00DB6F78"/>
    <w:rsid w:val="00DB6FAC"/>
    <w:rsid w:val="00DC0682"/>
    <w:rsid w:val="00DC0B64"/>
    <w:rsid w:val="00DC10F9"/>
    <w:rsid w:val="00DC1A34"/>
    <w:rsid w:val="00DC2522"/>
    <w:rsid w:val="00DC3922"/>
    <w:rsid w:val="00DC40F4"/>
    <w:rsid w:val="00DC4189"/>
    <w:rsid w:val="00DC5BD1"/>
    <w:rsid w:val="00DC664A"/>
    <w:rsid w:val="00DD0158"/>
    <w:rsid w:val="00DD1C32"/>
    <w:rsid w:val="00DD1ED9"/>
    <w:rsid w:val="00DD2814"/>
    <w:rsid w:val="00DD43D0"/>
    <w:rsid w:val="00DD477C"/>
    <w:rsid w:val="00DD54B8"/>
    <w:rsid w:val="00DD637A"/>
    <w:rsid w:val="00DD68B3"/>
    <w:rsid w:val="00DD7558"/>
    <w:rsid w:val="00DD7821"/>
    <w:rsid w:val="00DD7B5D"/>
    <w:rsid w:val="00DD7EAD"/>
    <w:rsid w:val="00DE1203"/>
    <w:rsid w:val="00DE18CC"/>
    <w:rsid w:val="00DE43CE"/>
    <w:rsid w:val="00DE4789"/>
    <w:rsid w:val="00DE783F"/>
    <w:rsid w:val="00DE7AD9"/>
    <w:rsid w:val="00DE7E54"/>
    <w:rsid w:val="00DF021D"/>
    <w:rsid w:val="00DF2084"/>
    <w:rsid w:val="00DF242A"/>
    <w:rsid w:val="00DF271D"/>
    <w:rsid w:val="00DF3E9C"/>
    <w:rsid w:val="00DF4EF4"/>
    <w:rsid w:val="00E003C0"/>
    <w:rsid w:val="00E00837"/>
    <w:rsid w:val="00E00A84"/>
    <w:rsid w:val="00E01481"/>
    <w:rsid w:val="00E022CA"/>
    <w:rsid w:val="00E02403"/>
    <w:rsid w:val="00E03061"/>
    <w:rsid w:val="00E04F2B"/>
    <w:rsid w:val="00E067A8"/>
    <w:rsid w:val="00E11660"/>
    <w:rsid w:val="00E11A35"/>
    <w:rsid w:val="00E13550"/>
    <w:rsid w:val="00E138F7"/>
    <w:rsid w:val="00E14413"/>
    <w:rsid w:val="00E17263"/>
    <w:rsid w:val="00E17700"/>
    <w:rsid w:val="00E21727"/>
    <w:rsid w:val="00E22593"/>
    <w:rsid w:val="00E234E9"/>
    <w:rsid w:val="00E23E21"/>
    <w:rsid w:val="00E24029"/>
    <w:rsid w:val="00E2405A"/>
    <w:rsid w:val="00E243E4"/>
    <w:rsid w:val="00E24427"/>
    <w:rsid w:val="00E24797"/>
    <w:rsid w:val="00E24814"/>
    <w:rsid w:val="00E24976"/>
    <w:rsid w:val="00E24B7D"/>
    <w:rsid w:val="00E25584"/>
    <w:rsid w:val="00E2570A"/>
    <w:rsid w:val="00E274B1"/>
    <w:rsid w:val="00E31E08"/>
    <w:rsid w:val="00E331F2"/>
    <w:rsid w:val="00E34DEA"/>
    <w:rsid w:val="00E362F6"/>
    <w:rsid w:val="00E36446"/>
    <w:rsid w:val="00E36EDB"/>
    <w:rsid w:val="00E36F00"/>
    <w:rsid w:val="00E37387"/>
    <w:rsid w:val="00E40964"/>
    <w:rsid w:val="00E42499"/>
    <w:rsid w:val="00E42502"/>
    <w:rsid w:val="00E425B3"/>
    <w:rsid w:val="00E42FD2"/>
    <w:rsid w:val="00E45C8F"/>
    <w:rsid w:val="00E47828"/>
    <w:rsid w:val="00E47D6C"/>
    <w:rsid w:val="00E50060"/>
    <w:rsid w:val="00E5204F"/>
    <w:rsid w:val="00E524D1"/>
    <w:rsid w:val="00E53165"/>
    <w:rsid w:val="00E533BD"/>
    <w:rsid w:val="00E53A47"/>
    <w:rsid w:val="00E53DE5"/>
    <w:rsid w:val="00E54873"/>
    <w:rsid w:val="00E54B14"/>
    <w:rsid w:val="00E566B9"/>
    <w:rsid w:val="00E57A5D"/>
    <w:rsid w:val="00E60280"/>
    <w:rsid w:val="00E61980"/>
    <w:rsid w:val="00E61A1F"/>
    <w:rsid w:val="00E62832"/>
    <w:rsid w:val="00E62F9C"/>
    <w:rsid w:val="00E63541"/>
    <w:rsid w:val="00E6391E"/>
    <w:rsid w:val="00E64AC9"/>
    <w:rsid w:val="00E65745"/>
    <w:rsid w:val="00E70719"/>
    <w:rsid w:val="00E71142"/>
    <w:rsid w:val="00E719FB"/>
    <w:rsid w:val="00E723EC"/>
    <w:rsid w:val="00E73785"/>
    <w:rsid w:val="00E73A18"/>
    <w:rsid w:val="00E7430A"/>
    <w:rsid w:val="00E75D75"/>
    <w:rsid w:val="00E75EB2"/>
    <w:rsid w:val="00E761B5"/>
    <w:rsid w:val="00E762CC"/>
    <w:rsid w:val="00E768E1"/>
    <w:rsid w:val="00E76B91"/>
    <w:rsid w:val="00E771CF"/>
    <w:rsid w:val="00E777B8"/>
    <w:rsid w:val="00E777B9"/>
    <w:rsid w:val="00E77ACF"/>
    <w:rsid w:val="00E811A7"/>
    <w:rsid w:val="00E81E68"/>
    <w:rsid w:val="00E82BC4"/>
    <w:rsid w:val="00E832A5"/>
    <w:rsid w:val="00E837A3"/>
    <w:rsid w:val="00E837D2"/>
    <w:rsid w:val="00E84804"/>
    <w:rsid w:val="00E855FE"/>
    <w:rsid w:val="00E862FF"/>
    <w:rsid w:val="00E86E37"/>
    <w:rsid w:val="00E87143"/>
    <w:rsid w:val="00E91181"/>
    <w:rsid w:val="00E939B0"/>
    <w:rsid w:val="00E94381"/>
    <w:rsid w:val="00E943D5"/>
    <w:rsid w:val="00E94EC6"/>
    <w:rsid w:val="00E95565"/>
    <w:rsid w:val="00E97281"/>
    <w:rsid w:val="00E974BE"/>
    <w:rsid w:val="00E976BD"/>
    <w:rsid w:val="00EA2311"/>
    <w:rsid w:val="00EA36D2"/>
    <w:rsid w:val="00EA5835"/>
    <w:rsid w:val="00EA64FD"/>
    <w:rsid w:val="00EA682C"/>
    <w:rsid w:val="00EA6CF1"/>
    <w:rsid w:val="00EA7793"/>
    <w:rsid w:val="00EA7AC6"/>
    <w:rsid w:val="00EB0511"/>
    <w:rsid w:val="00EB07FE"/>
    <w:rsid w:val="00EB0A19"/>
    <w:rsid w:val="00EB184F"/>
    <w:rsid w:val="00EB1DC0"/>
    <w:rsid w:val="00EB32C5"/>
    <w:rsid w:val="00EB443A"/>
    <w:rsid w:val="00EB5649"/>
    <w:rsid w:val="00EB5EFB"/>
    <w:rsid w:val="00EB7E7A"/>
    <w:rsid w:val="00EC2BF5"/>
    <w:rsid w:val="00EC3F19"/>
    <w:rsid w:val="00EC4635"/>
    <w:rsid w:val="00EC49B1"/>
    <w:rsid w:val="00EC659A"/>
    <w:rsid w:val="00EC6A17"/>
    <w:rsid w:val="00EC7FD1"/>
    <w:rsid w:val="00ED1551"/>
    <w:rsid w:val="00ED6A83"/>
    <w:rsid w:val="00ED6E28"/>
    <w:rsid w:val="00ED7453"/>
    <w:rsid w:val="00EE07CF"/>
    <w:rsid w:val="00EE2AC1"/>
    <w:rsid w:val="00EE4C47"/>
    <w:rsid w:val="00EF0368"/>
    <w:rsid w:val="00EF064D"/>
    <w:rsid w:val="00EF07D1"/>
    <w:rsid w:val="00EF33D3"/>
    <w:rsid w:val="00EF34DB"/>
    <w:rsid w:val="00EF3F8B"/>
    <w:rsid w:val="00EF4523"/>
    <w:rsid w:val="00EF4721"/>
    <w:rsid w:val="00EF5371"/>
    <w:rsid w:val="00EF7C5D"/>
    <w:rsid w:val="00EF7CDF"/>
    <w:rsid w:val="00F0077E"/>
    <w:rsid w:val="00F00FD4"/>
    <w:rsid w:val="00F0252C"/>
    <w:rsid w:val="00F02FD0"/>
    <w:rsid w:val="00F03D45"/>
    <w:rsid w:val="00F05A8E"/>
    <w:rsid w:val="00F05BBE"/>
    <w:rsid w:val="00F06AF1"/>
    <w:rsid w:val="00F06DD3"/>
    <w:rsid w:val="00F10884"/>
    <w:rsid w:val="00F1153E"/>
    <w:rsid w:val="00F11C99"/>
    <w:rsid w:val="00F14203"/>
    <w:rsid w:val="00F16A60"/>
    <w:rsid w:val="00F16F02"/>
    <w:rsid w:val="00F2077F"/>
    <w:rsid w:val="00F207E6"/>
    <w:rsid w:val="00F218CC"/>
    <w:rsid w:val="00F21C07"/>
    <w:rsid w:val="00F24DEB"/>
    <w:rsid w:val="00F250AA"/>
    <w:rsid w:val="00F25457"/>
    <w:rsid w:val="00F25AF3"/>
    <w:rsid w:val="00F25EC7"/>
    <w:rsid w:val="00F2670C"/>
    <w:rsid w:val="00F31A4E"/>
    <w:rsid w:val="00F31BC8"/>
    <w:rsid w:val="00F3207C"/>
    <w:rsid w:val="00F3256B"/>
    <w:rsid w:val="00F33980"/>
    <w:rsid w:val="00F33A11"/>
    <w:rsid w:val="00F34481"/>
    <w:rsid w:val="00F34A42"/>
    <w:rsid w:val="00F35009"/>
    <w:rsid w:val="00F359D6"/>
    <w:rsid w:val="00F36288"/>
    <w:rsid w:val="00F3728A"/>
    <w:rsid w:val="00F403B3"/>
    <w:rsid w:val="00F40581"/>
    <w:rsid w:val="00F40C0C"/>
    <w:rsid w:val="00F40EF0"/>
    <w:rsid w:val="00F41FEC"/>
    <w:rsid w:val="00F424DB"/>
    <w:rsid w:val="00F4274B"/>
    <w:rsid w:val="00F42DF2"/>
    <w:rsid w:val="00F4340A"/>
    <w:rsid w:val="00F436ED"/>
    <w:rsid w:val="00F45587"/>
    <w:rsid w:val="00F46FFE"/>
    <w:rsid w:val="00F47AD7"/>
    <w:rsid w:val="00F47C06"/>
    <w:rsid w:val="00F5031C"/>
    <w:rsid w:val="00F50B1A"/>
    <w:rsid w:val="00F53238"/>
    <w:rsid w:val="00F53570"/>
    <w:rsid w:val="00F5577C"/>
    <w:rsid w:val="00F5660A"/>
    <w:rsid w:val="00F57015"/>
    <w:rsid w:val="00F57B98"/>
    <w:rsid w:val="00F60041"/>
    <w:rsid w:val="00F606F0"/>
    <w:rsid w:val="00F60C22"/>
    <w:rsid w:val="00F60CB5"/>
    <w:rsid w:val="00F6165C"/>
    <w:rsid w:val="00F61D0D"/>
    <w:rsid w:val="00F62D6B"/>
    <w:rsid w:val="00F636C0"/>
    <w:rsid w:val="00F63732"/>
    <w:rsid w:val="00F64DB9"/>
    <w:rsid w:val="00F64EBF"/>
    <w:rsid w:val="00F65115"/>
    <w:rsid w:val="00F65F0B"/>
    <w:rsid w:val="00F66860"/>
    <w:rsid w:val="00F67D6E"/>
    <w:rsid w:val="00F70152"/>
    <w:rsid w:val="00F70840"/>
    <w:rsid w:val="00F7105C"/>
    <w:rsid w:val="00F72144"/>
    <w:rsid w:val="00F7286E"/>
    <w:rsid w:val="00F72EAD"/>
    <w:rsid w:val="00F738E5"/>
    <w:rsid w:val="00F7410F"/>
    <w:rsid w:val="00F74A38"/>
    <w:rsid w:val="00F75686"/>
    <w:rsid w:val="00F75C2E"/>
    <w:rsid w:val="00F767B4"/>
    <w:rsid w:val="00F7774B"/>
    <w:rsid w:val="00F77AAE"/>
    <w:rsid w:val="00F8093B"/>
    <w:rsid w:val="00F83121"/>
    <w:rsid w:val="00F839FA"/>
    <w:rsid w:val="00F841E5"/>
    <w:rsid w:val="00F84E9D"/>
    <w:rsid w:val="00F85DF9"/>
    <w:rsid w:val="00F8767B"/>
    <w:rsid w:val="00F90215"/>
    <w:rsid w:val="00F92321"/>
    <w:rsid w:val="00F92813"/>
    <w:rsid w:val="00F95220"/>
    <w:rsid w:val="00FA08FB"/>
    <w:rsid w:val="00FA0CBE"/>
    <w:rsid w:val="00FA1916"/>
    <w:rsid w:val="00FA1EBA"/>
    <w:rsid w:val="00FA2288"/>
    <w:rsid w:val="00FA2AF3"/>
    <w:rsid w:val="00FA31E9"/>
    <w:rsid w:val="00FA445E"/>
    <w:rsid w:val="00FA447F"/>
    <w:rsid w:val="00FA45C5"/>
    <w:rsid w:val="00FA4636"/>
    <w:rsid w:val="00FA4CC5"/>
    <w:rsid w:val="00FA509B"/>
    <w:rsid w:val="00FA55D6"/>
    <w:rsid w:val="00FA5DC6"/>
    <w:rsid w:val="00FA742E"/>
    <w:rsid w:val="00FA7897"/>
    <w:rsid w:val="00FB03F3"/>
    <w:rsid w:val="00FB0BCD"/>
    <w:rsid w:val="00FB2111"/>
    <w:rsid w:val="00FB3A9F"/>
    <w:rsid w:val="00FB506E"/>
    <w:rsid w:val="00FB576C"/>
    <w:rsid w:val="00FB7F7D"/>
    <w:rsid w:val="00FC04C5"/>
    <w:rsid w:val="00FC2065"/>
    <w:rsid w:val="00FC29D4"/>
    <w:rsid w:val="00FC2C12"/>
    <w:rsid w:val="00FC2C1A"/>
    <w:rsid w:val="00FC304C"/>
    <w:rsid w:val="00FC4894"/>
    <w:rsid w:val="00FC65B9"/>
    <w:rsid w:val="00FD1321"/>
    <w:rsid w:val="00FD389A"/>
    <w:rsid w:val="00FD584D"/>
    <w:rsid w:val="00FD5ADD"/>
    <w:rsid w:val="00FD5B70"/>
    <w:rsid w:val="00FD62B3"/>
    <w:rsid w:val="00FD67A4"/>
    <w:rsid w:val="00FE0570"/>
    <w:rsid w:val="00FE0D68"/>
    <w:rsid w:val="00FE0F65"/>
    <w:rsid w:val="00FE1FA8"/>
    <w:rsid w:val="00FE201B"/>
    <w:rsid w:val="00FE2095"/>
    <w:rsid w:val="00FE2185"/>
    <w:rsid w:val="00FE2B80"/>
    <w:rsid w:val="00FE2C18"/>
    <w:rsid w:val="00FE3FF0"/>
    <w:rsid w:val="00FE4898"/>
    <w:rsid w:val="00FE6127"/>
    <w:rsid w:val="00FE71A0"/>
    <w:rsid w:val="00FE7429"/>
    <w:rsid w:val="00FF004C"/>
    <w:rsid w:val="00FF2FE4"/>
    <w:rsid w:val="00FF3F0A"/>
    <w:rsid w:val="00FF4AF0"/>
    <w:rsid w:val="01D25E65"/>
    <w:rsid w:val="02310E0F"/>
    <w:rsid w:val="05CD222A"/>
    <w:rsid w:val="08A2174C"/>
    <w:rsid w:val="0CA72637"/>
    <w:rsid w:val="0CD3017E"/>
    <w:rsid w:val="11C41864"/>
    <w:rsid w:val="1345577E"/>
    <w:rsid w:val="17AB3A40"/>
    <w:rsid w:val="1C8A2576"/>
    <w:rsid w:val="20095E2E"/>
    <w:rsid w:val="203A679C"/>
    <w:rsid w:val="225525BF"/>
    <w:rsid w:val="25143477"/>
    <w:rsid w:val="2FAA6F94"/>
    <w:rsid w:val="38645F3C"/>
    <w:rsid w:val="43C3375F"/>
    <w:rsid w:val="45E57094"/>
    <w:rsid w:val="50925716"/>
    <w:rsid w:val="56B517B9"/>
    <w:rsid w:val="582E2E4D"/>
    <w:rsid w:val="58D00F8B"/>
    <w:rsid w:val="6029271D"/>
    <w:rsid w:val="66473983"/>
    <w:rsid w:val="70C11085"/>
    <w:rsid w:val="71105708"/>
    <w:rsid w:val="714E1CBD"/>
    <w:rsid w:val="743D6150"/>
    <w:rsid w:val="7975478C"/>
    <w:rsid w:val="7B0342E8"/>
    <w:rsid w:val="7EBE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tabs>
        <w:tab w:val="left" w:pos="993"/>
      </w:tabs>
      <w:spacing w:line="578" w:lineRule="auto"/>
      <w:ind w:firstLine="482" w:firstLineChars="200"/>
      <w:jc w:val="left"/>
      <w:outlineLvl w:val="0"/>
    </w:pPr>
    <w:rPr>
      <w:rFonts w:eastAsia="宋体"/>
      <w:b/>
      <w:bCs/>
      <w:kern w:val="44"/>
      <w:sz w:val="24"/>
      <w:szCs w:val="44"/>
    </w:rPr>
  </w:style>
  <w:style w:type="paragraph" w:styleId="3">
    <w:name w:val="heading 2"/>
    <w:basedOn w:val="1"/>
    <w:next w:val="1"/>
    <w:link w:val="22"/>
    <w:unhideWhenUsed/>
    <w:qFormat/>
    <w:uiPriority w:val="9"/>
    <w:pPr>
      <w:keepNext/>
      <w:keepLines/>
      <w:spacing w:line="360" w:lineRule="auto"/>
      <w:ind w:left="420"/>
      <w:outlineLvl w:val="1"/>
    </w:pPr>
    <w:rPr>
      <w:rFonts w:ascii="宋体" w:hAnsi="宋体" w:eastAsia="宋体" w:cstheme="majorBidi"/>
      <w:b/>
      <w:bCs/>
      <w:sz w:val="24"/>
      <w:szCs w:val="32"/>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unhideWhenUsed/>
    <w:qFormat/>
    <w:uiPriority w:val="99"/>
    <w:pPr>
      <w:jc w:val="left"/>
    </w:pPr>
  </w:style>
  <w:style w:type="paragraph" w:styleId="7">
    <w:name w:val="Balloon Text"/>
    <w:basedOn w:val="1"/>
    <w:link w:val="3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numPr>
        <w:ilvl w:val="0"/>
        <w:numId w:val="1"/>
      </w:numPr>
      <w:tabs>
        <w:tab w:val="left" w:pos="630"/>
        <w:tab w:val="right" w:leader="dot" w:pos="8296"/>
      </w:tabs>
    </w:pPr>
    <w:rPr>
      <w:rFonts w:eastAsia="宋体"/>
      <w:b/>
    </w:rPr>
  </w:style>
  <w:style w:type="paragraph" w:styleId="11">
    <w:name w:val="toc 2"/>
    <w:basedOn w:val="1"/>
    <w:next w:val="1"/>
    <w:unhideWhenUsed/>
    <w:qFormat/>
    <w:uiPriority w:val="39"/>
    <w:pPr>
      <w:tabs>
        <w:tab w:val="left" w:pos="644"/>
        <w:tab w:val="left" w:pos="993"/>
        <w:tab w:val="right" w:leader="dot" w:pos="8296"/>
      </w:tabs>
      <w:ind w:left="-82" w:firstLine="105" w:firstLineChars="50"/>
    </w:pPr>
    <w:rPr>
      <w:rFonts w:eastAsia="宋体"/>
    </w:rPr>
  </w:style>
  <w:style w:type="paragraph" w:styleId="12">
    <w:name w:val="annotation subject"/>
    <w:basedOn w:val="6"/>
    <w:next w:val="6"/>
    <w:link w:val="29"/>
    <w:semiHidden/>
    <w:unhideWhenUsed/>
    <w:qFormat/>
    <w:uiPriority w:val="99"/>
    <w:rPr>
      <w:b/>
      <w:bCs/>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normaltextrun"/>
    <w:basedOn w:val="14"/>
    <w:qFormat/>
    <w:uiPriority w:val="0"/>
  </w:style>
  <w:style w:type="paragraph" w:styleId="18">
    <w:name w:val="List Paragraph"/>
    <w:basedOn w:val="1"/>
    <w:qFormat/>
    <w:uiPriority w:val="34"/>
    <w:pPr>
      <w:numPr>
        <w:ilvl w:val="0"/>
        <w:numId w:val="2"/>
      </w:numPr>
    </w:pPr>
  </w:style>
  <w:style w:type="character" w:customStyle="1" w:styleId="19">
    <w:name w:val="Header Char"/>
    <w:basedOn w:val="14"/>
    <w:link w:val="9"/>
    <w:qFormat/>
    <w:uiPriority w:val="99"/>
    <w:rPr>
      <w:sz w:val="18"/>
      <w:szCs w:val="18"/>
    </w:rPr>
  </w:style>
  <w:style w:type="character" w:customStyle="1" w:styleId="20">
    <w:name w:val="Footer Char"/>
    <w:basedOn w:val="14"/>
    <w:link w:val="8"/>
    <w:qFormat/>
    <w:uiPriority w:val="99"/>
    <w:rPr>
      <w:sz w:val="18"/>
      <w:szCs w:val="18"/>
    </w:rPr>
  </w:style>
  <w:style w:type="character" w:customStyle="1" w:styleId="21">
    <w:name w:val="Heading 1 Char"/>
    <w:basedOn w:val="14"/>
    <w:link w:val="2"/>
    <w:qFormat/>
    <w:uiPriority w:val="9"/>
    <w:rPr>
      <w:rFonts w:eastAsia="宋体"/>
      <w:b/>
      <w:bCs/>
      <w:kern w:val="44"/>
      <w:sz w:val="24"/>
      <w:szCs w:val="44"/>
    </w:rPr>
  </w:style>
  <w:style w:type="character" w:customStyle="1" w:styleId="22">
    <w:name w:val="Heading 2 Char"/>
    <w:basedOn w:val="14"/>
    <w:link w:val="3"/>
    <w:qFormat/>
    <w:uiPriority w:val="9"/>
    <w:rPr>
      <w:rFonts w:ascii="宋体" w:hAnsi="宋体" w:eastAsia="宋体" w:cstheme="majorBidi"/>
      <w:b/>
      <w:bCs/>
      <w:kern w:val="2"/>
      <w:sz w:val="24"/>
      <w:szCs w:val="32"/>
    </w:rPr>
  </w:style>
  <w:style w:type="paragraph" w:customStyle="1" w:styleId="23">
    <w:name w:val="TOC 标题1"/>
    <w:basedOn w:val="2"/>
    <w:next w:val="1"/>
    <w:unhideWhenUsed/>
    <w:qFormat/>
    <w:uiPriority w:val="39"/>
    <w:pPr>
      <w:widowControl/>
      <w:spacing w:before="240" w:line="259" w:lineRule="auto"/>
      <w:ind w:left="-105"/>
      <w:jc w:val="center"/>
      <w:outlineLvl w:val="9"/>
    </w:pPr>
    <w:rPr>
      <w:rFonts w:asciiTheme="majorHAnsi" w:hAnsiTheme="majorHAnsi" w:eastAsiaTheme="majorEastAsia" w:cstheme="majorBidi"/>
      <w:b w:val="0"/>
      <w:bCs w:val="0"/>
      <w:color w:val="2F5597" w:themeColor="accent1" w:themeShade="BF"/>
      <w:kern w:val="0"/>
      <w:sz w:val="32"/>
      <w:szCs w:val="32"/>
      <w:lang w:eastAsia="en-US"/>
    </w:rPr>
  </w:style>
  <w:style w:type="character" w:customStyle="1" w:styleId="24">
    <w:name w:val="Heading 3 Char"/>
    <w:basedOn w:val="14"/>
    <w:link w:val="4"/>
    <w:semiHidden/>
    <w:qFormat/>
    <w:uiPriority w:val="9"/>
    <w:rPr>
      <w:b/>
      <w:bCs/>
      <w:sz w:val="32"/>
      <w:szCs w:val="32"/>
    </w:rPr>
  </w:style>
  <w:style w:type="character" w:customStyle="1" w:styleId="25">
    <w:name w:val="Heading 4 Char"/>
    <w:basedOn w:val="14"/>
    <w:link w:val="5"/>
    <w:qFormat/>
    <w:uiPriority w:val="9"/>
    <w:rPr>
      <w:rFonts w:asciiTheme="majorHAnsi" w:hAnsiTheme="majorHAnsi" w:eastAsiaTheme="majorEastAsia" w:cstheme="majorBidi"/>
      <w:b/>
      <w:bCs/>
      <w:sz w:val="28"/>
      <w:szCs w:val="28"/>
    </w:rPr>
  </w:style>
  <w:style w:type="paragraph" w:customStyle="1" w:styleId="26">
    <w:name w:val="Heading2"/>
    <w:basedOn w:val="3"/>
    <w:link w:val="27"/>
    <w:qFormat/>
    <w:uiPriority w:val="0"/>
    <w:pPr>
      <w:tabs>
        <w:tab w:val="left" w:pos="709"/>
        <w:tab w:val="left" w:pos="851"/>
        <w:tab w:val="left" w:pos="938"/>
        <w:tab w:val="left" w:pos="994"/>
      </w:tabs>
    </w:pPr>
  </w:style>
  <w:style w:type="character" w:customStyle="1" w:styleId="27">
    <w:name w:val="Heading2 Char"/>
    <w:basedOn w:val="22"/>
    <w:link w:val="26"/>
    <w:qFormat/>
    <w:uiPriority w:val="0"/>
    <w:rPr>
      <w:rFonts w:ascii="宋体" w:hAnsi="宋体" w:eastAsia="宋体" w:cstheme="majorBidi"/>
      <w:kern w:val="2"/>
      <w:sz w:val="24"/>
      <w:szCs w:val="32"/>
    </w:rPr>
  </w:style>
  <w:style w:type="character" w:customStyle="1" w:styleId="28">
    <w:name w:val="Comment Text Char"/>
    <w:basedOn w:val="14"/>
    <w:link w:val="6"/>
    <w:qFormat/>
    <w:uiPriority w:val="99"/>
  </w:style>
  <w:style w:type="character" w:customStyle="1" w:styleId="29">
    <w:name w:val="Comment Subject Char"/>
    <w:basedOn w:val="28"/>
    <w:link w:val="12"/>
    <w:semiHidden/>
    <w:qFormat/>
    <w:uiPriority w:val="99"/>
    <w:rPr>
      <w:b/>
      <w:bCs/>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Balloon Text Char"/>
    <w:basedOn w:val="14"/>
    <w:link w:val="7"/>
    <w:semiHidden/>
    <w:qFormat/>
    <w:uiPriority w:val="99"/>
    <w:rPr>
      <w:kern w:val="2"/>
      <w:sz w:val="18"/>
      <w:szCs w:val="18"/>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C77E3-4383-49CD-A6F6-3C6CA545A9ED}">
  <ds:schemaRefs/>
</ds:datastoreItem>
</file>

<file path=docProps/app.xml><?xml version="1.0" encoding="utf-8"?>
<Properties xmlns="http://schemas.openxmlformats.org/officeDocument/2006/extended-properties" xmlns:vt="http://schemas.openxmlformats.org/officeDocument/2006/docPropsVTypes">
  <Template>Normal.dotm</Template>
  <Company>ShineWing</Company>
  <Pages>17</Pages>
  <Words>2117</Words>
  <Characters>12071</Characters>
  <Lines>100</Lines>
  <Paragraphs>28</Paragraphs>
  <TotalTime>182</TotalTime>
  <ScaleCrop>false</ScaleCrop>
  <LinksUpToDate>false</LinksUpToDate>
  <CharactersWithSpaces>14160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2024-03-14T13:45:00Z</dcterms:created>
  <dc:creator>Maxwell Mai</dc:creator>
  <cp:lastModifiedBy>李若怡</cp:lastModifiedBy>
  <cp:lastPrinted>2023-12-11T10:43:00Z</cp:lastPrinted>
  <dcterms:modified xsi:type="dcterms:W3CDTF">2024-07-18T07:05:12Z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C7494773078B4174990268EB56B5178F_12</vt:lpwstr>
  </property>
</Properties>
</file>