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32"/>
          <w:szCs w:val="32"/>
        </w:rPr>
      </w:pPr>
      <w:r>
        <w:rPr>
          <w:rFonts w:ascii="Times New Roman" w:hAnsi="Times New Roman" w:eastAsia="黑体"/>
          <w:color w:val="000000"/>
          <w:kern w:val="0"/>
          <w:sz w:val="32"/>
          <w:szCs w:val="32"/>
          <w:lang w:bidi="ar"/>
        </w:rPr>
        <w:t>附件</w:t>
      </w:r>
    </w:p>
    <w:tbl>
      <w:tblPr>
        <w:tblStyle w:val="8"/>
        <w:tblW w:w="12971" w:type="dxa"/>
        <w:tblInd w:w="0" w:type="dxa"/>
        <w:tblLayout w:type="fixed"/>
        <w:tblCellMar>
          <w:top w:w="0" w:type="dxa"/>
          <w:left w:w="108" w:type="dxa"/>
          <w:bottom w:w="0" w:type="dxa"/>
          <w:right w:w="108" w:type="dxa"/>
        </w:tblCellMar>
      </w:tblPr>
      <w:tblGrid>
        <w:gridCol w:w="12971"/>
      </w:tblGrid>
      <w:tr>
        <w:tblPrEx>
          <w:tblCellMar>
            <w:top w:w="0" w:type="dxa"/>
            <w:left w:w="108" w:type="dxa"/>
            <w:bottom w:w="0" w:type="dxa"/>
            <w:right w:w="108" w:type="dxa"/>
          </w:tblCellMar>
        </w:tblPrEx>
        <w:trPr>
          <w:trHeight w:val="797" w:hRule="atLeast"/>
        </w:trPr>
        <w:tc>
          <w:tcPr>
            <w:tcW w:w="12971" w:type="dxa"/>
            <w:vAlign w:val="center"/>
          </w:tcPr>
          <w:p>
            <w:pPr>
              <w:widowControl/>
              <w:jc w:val="center"/>
              <w:rPr>
                <w:rFonts w:ascii="方正小标宋简体" w:hAnsi="Times New Roman" w:eastAsia="方正小标宋简体"/>
                <w:color w:val="000000"/>
                <w:kern w:val="0"/>
                <w:sz w:val="44"/>
                <w:szCs w:val="44"/>
              </w:rPr>
            </w:pPr>
            <w:r>
              <w:rPr>
                <w:rFonts w:hint="eastAsia" w:ascii="方正小标宋简体" w:hAnsi="Times New Roman" w:eastAsia="方正小标宋简体"/>
                <w:color w:val="000000"/>
                <w:kern w:val="0"/>
                <w:sz w:val="44"/>
                <w:szCs w:val="44"/>
              </w:rPr>
              <w:t>天津市行政许可中介要件目录（</w:t>
            </w:r>
            <w:r>
              <w:rPr>
                <w:rFonts w:hint="eastAsia" w:ascii="Times New Roman" w:hAnsi="Times New Roman" w:eastAsia="仿宋_GB2312"/>
                <w:sz w:val="44"/>
                <w:szCs w:val="44"/>
              </w:rPr>
              <w:t>202</w:t>
            </w:r>
            <w:r>
              <w:rPr>
                <w:rFonts w:ascii="Times New Roman" w:hAnsi="Times New Roman" w:eastAsia="仿宋_GB2312"/>
                <w:sz w:val="44"/>
                <w:szCs w:val="44"/>
              </w:rPr>
              <w:t>3</w:t>
            </w:r>
            <w:r>
              <w:rPr>
                <w:rFonts w:hint="eastAsia" w:ascii="方正小标宋简体" w:hAnsi="Times New Roman" w:eastAsia="方正小标宋简体"/>
                <w:color w:val="000000"/>
                <w:kern w:val="0"/>
                <w:sz w:val="44"/>
                <w:szCs w:val="44"/>
              </w:rPr>
              <w:t>年版）</w:t>
            </w:r>
          </w:p>
        </w:tc>
      </w:tr>
    </w:tbl>
    <w:p>
      <w:pPr>
        <w:spacing w:line="140" w:lineRule="exact"/>
        <w:rPr>
          <w:rFonts w:ascii="Times New Roman" w:hAnsi="Times New Roman"/>
          <w:szCs w:val="24"/>
        </w:rPr>
      </w:pPr>
    </w:p>
    <w:tbl>
      <w:tblPr>
        <w:tblStyle w:val="8"/>
        <w:tblW w:w="13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43"/>
        <w:gridCol w:w="1711"/>
        <w:gridCol w:w="2569"/>
        <w:gridCol w:w="2668"/>
        <w:gridCol w:w="117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trPr>
        <w:tc>
          <w:tcPr>
            <w:tcW w:w="510" w:type="dxa"/>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序号</w:t>
            </w:r>
          </w:p>
        </w:tc>
        <w:tc>
          <w:tcPr>
            <w:tcW w:w="1443" w:type="dxa"/>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市级审批部门</w:t>
            </w:r>
          </w:p>
        </w:tc>
        <w:tc>
          <w:tcPr>
            <w:tcW w:w="1711" w:type="dxa"/>
            <w:vAlign w:val="center"/>
          </w:tcPr>
          <w:p>
            <w:pPr>
              <w:widowControl/>
              <w:spacing w:line="320" w:lineRule="exact"/>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区级审批部门</w:t>
            </w:r>
          </w:p>
        </w:tc>
        <w:tc>
          <w:tcPr>
            <w:tcW w:w="2569" w:type="dxa"/>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行政许可事项名称</w:t>
            </w:r>
          </w:p>
        </w:tc>
        <w:tc>
          <w:tcPr>
            <w:tcW w:w="2668" w:type="dxa"/>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中介要件名称</w:t>
            </w:r>
          </w:p>
        </w:tc>
        <w:tc>
          <w:tcPr>
            <w:tcW w:w="1178" w:type="dxa"/>
            <w:vAlign w:val="center"/>
          </w:tcPr>
          <w:p>
            <w:pPr>
              <w:widowControl/>
              <w:jc w:val="center"/>
              <w:rPr>
                <w:rFonts w:ascii="Times New Roman" w:hAnsi="Times New Roman" w:eastAsia="黑体"/>
                <w:color w:val="000000"/>
                <w:kern w:val="0"/>
                <w:sz w:val="20"/>
                <w:szCs w:val="20"/>
              </w:rPr>
            </w:pPr>
            <w:r>
              <w:rPr>
                <w:rFonts w:ascii="Times New Roman" w:hAnsi="Times New Roman" w:eastAsia="黑体"/>
                <w:color w:val="000000"/>
                <w:kern w:val="0"/>
                <w:sz w:val="20"/>
                <w:szCs w:val="20"/>
              </w:rPr>
              <w:t>中介机构</w:t>
            </w:r>
          </w:p>
        </w:tc>
        <w:tc>
          <w:tcPr>
            <w:tcW w:w="2923" w:type="dxa"/>
            <w:vAlign w:val="center"/>
          </w:tcPr>
          <w:p>
            <w:pPr>
              <w:widowControl/>
              <w:jc w:val="center"/>
              <w:rPr>
                <w:rFonts w:ascii="Times New Roman" w:hAnsi="Times New Roman" w:eastAsia="黑体"/>
                <w:color w:val="000000"/>
                <w:kern w:val="0"/>
                <w:sz w:val="20"/>
                <w:szCs w:val="20"/>
              </w:rPr>
            </w:pPr>
            <w:r>
              <w:rPr>
                <w:rFonts w:hint="eastAsia" w:ascii="Times New Roman" w:hAnsi="Times New Roman" w:eastAsia="黑体"/>
                <w:color w:val="000000"/>
                <w:kern w:val="0"/>
                <w:sz w:val="20"/>
                <w:szCs w:val="20"/>
              </w:rPr>
              <w:t>要件</w:t>
            </w:r>
            <w:r>
              <w:rPr>
                <w:rFonts w:ascii="Times New Roman" w:hAnsi="Times New Roman" w:eastAsia="黑体"/>
                <w:color w:val="000000"/>
                <w:kern w:val="0"/>
                <w:sz w:val="20"/>
                <w:szCs w:val="20"/>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510"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建设项目用地预审与选址意见书核发</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现势地形图（以出让方式供地项目应包括核定用地图）和电子文件</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现势地形（管网）图和电子文件</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规划方案（线性占地类、管线综合类以及长度大于2000米以上的非占地类项目需提供）</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具有规划资质机构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建设工程规划验收合格证</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建设工程规划验收测量技术报告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建设工程、临时建设工程规划许可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建设工程设计方案3份（含电子文件）</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具有相应设计资质机构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《中华人民共和国城乡规划法》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建设工程规划放线测量技术报告3份（含电子文件）</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《天津市城乡规划条例》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4</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不涉及</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（除市内六区）</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乡村建设规划许可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房屋设计方案3份（含电子文件，平房村民住宅建设项目无需提供）</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具有建筑设计资质机构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《自然资源部主管的行政许可事项实施规范》</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《天津市农业农村委天津市规划和自然资源局关于规范农村宅基地审批管理的通知》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建设项目用地范围地形图</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《市规划资源局关于印发〈天津市乡村建设项目规划许可管理办法〉的通知》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建设工程设计方案3份（含电子文件）</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具有建筑设计资质机构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《自然资源部主管的行政许可事项实施规范》</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《市规划资源局关于印发〈天津市乡村建设项目规划许可管理办法〉的通知》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10"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市规划资源局</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建设用地、临时建设用地规划许可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核定用地图2份（含SHP和DWG格式数据）、划拨宗地平面界限图5份（含2000坐标的SHP格式数据）</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具有测绘资质机构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《天津市城乡规划条例》</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《关于印发〈国有建设用地划拨决定书〉的通知》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市交通运输委</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涉路施工许可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保障公路、公路附属设施质量和安全的技术评价报告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工程咨询机构</w:t>
            </w:r>
          </w:p>
        </w:tc>
        <w:tc>
          <w:tcPr>
            <w:tcW w:w="2923" w:type="dxa"/>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《公路安全保护条例》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市金融局</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委托滨海新区金融局实施</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设立典当行及分支机构审批</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具有法定资格的会计师事务所出具的法人股东财务审计报告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restart"/>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《典当管理办法》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具有法定资格的验资机构出具的验资证明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具有法定资格的会计师事务所出具的法人股东出资能力证明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具有法定资格的会计师事务所出具的该典当行最近两年的财务会计报告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continue"/>
            <w:shd w:val="clear" w:color="auto" w:fill="FFFFFF"/>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营运资金拨付证明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8</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市金融局</w:t>
            </w:r>
          </w:p>
        </w:tc>
        <w:tc>
          <w:tcPr>
            <w:tcW w:w="1711" w:type="dxa"/>
            <w:vMerge w:val="restart"/>
            <w:shd w:val="clear" w:color="auto" w:fill="FFFFFF"/>
            <w:vAlign w:val="center"/>
          </w:tcPr>
          <w:p>
            <w:pPr>
              <w:widowControl/>
              <w:spacing w:line="320" w:lineRule="exact"/>
              <w:rPr>
                <w:rFonts w:ascii="Times New Roman" w:hAnsi="Times New Roman" w:eastAsia="仿宋_GB2312"/>
                <w:kern w:val="0"/>
                <w:sz w:val="20"/>
                <w:szCs w:val="20"/>
              </w:rPr>
            </w:pPr>
            <w:r>
              <w:rPr>
                <w:rFonts w:eastAsia="仿宋_GB2312"/>
                <w:color w:val="000000"/>
                <w:kern w:val="0"/>
                <w:sz w:val="20"/>
                <w:szCs w:val="20"/>
                <w:lang w:bidi="ar"/>
              </w:rPr>
              <w:t>委托滨海新区金融局实施</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融资担保公司设立、合并、分立、减少注册资本及跨省设立分支机构审批</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出资人基本情况（</w:t>
            </w:r>
            <w:r>
              <w:rPr>
                <w:rFonts w:ascii="Times New Roman" w:hAnsi="Times New Roman" w:eastAsia="仿宋_GB2312"/>
                <w:color w:val="000000"/>
                <w:kern w:val="0"/>
                <w:sz w:val="20"/>
                <w:szCs w:val="20"/>
              </w:rPr>
              <w:t>具有相应资质的会计师事务所出具的近3年财务审计报告</w:t>
            </w:r>
            <w:r>
              <w:rPr>
                <w:rFonts w:hint="eastAsia" w:ascii="Times New Roman" w:hAnsi="Times New Roman" w:eastAsia="仿宋_GB2312"/>
                <w:color w:val="000000"/>
                <w:kern w:val="0"/>
                <w:sz w:val="20"/>
                <w:szCs w:val="20"/>
              </w:rPr>
              <w:t>）</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restart"/>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《融资担保公司监督管理条例》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出资人基本情况（</w:t>
            </w:r>
            <w:r>
              <w:rPr>
                <w:rFonts w:ascii="Times New Roman" w:hAnsi="Times New Roman" w:eastAsia="仿宋_GB2312"/>
                <w:color w:val="000000"/>
                <w:kern w:val="0"/>
                <w:sz w:val="20"/>
                <w:szCs w:val="20"/>
              </w:rPr>
              <w:t>专业信用评级机构出具的出资能力评估报告</w:t>
            </w:r>
            <w:r>
              <w:rPr>
                <w:rFonts w:hint="eastAsia" w:ascii="Times New Roman" w:hAnsi="Times New Roman" w:eastAsia="仿宋_GB2312"/>
                <w:color w:val="000000"/>
                <w:kern w:val="0"/>
                <w:sz w:val="20"/>
                <w:szCs w:val="20"/>
              </w:rPr>
              <w:t>）</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专业信用评级机构</w:t>
            </w: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具有资质的会计师事务所出具的验资报告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具有相应资质的会计师事务所出具的近3年财务审计报告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continue"/>
            <w:shd w:val="clear" w:color="auto" w:fill="FFFFFF"/>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9</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市商务局</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r>
              <w:rPr>
                <w:rFonts w:hint="eastAsia" w:eastAsia="仿宋_GB2312"/>
                <w:color w:val="000000"/>
                <w:kern w:val="0"/>
                <w:sz w:val="20"/>
                <w:szCs w:val="20"/>
                <w:lang w:bidi="ar"/>
              </w:rPr>
              <w:t>（各区有关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受理</w:t>
            </w:r>
            <w:r>
              <w:rPr>
                <w:rFonts w:hint="eastAsia" w:eastAsia="仿宋_GB2312"/>
                <w:color w:val="000000"/>
                <w:kern w:val="0"/>
                <w:sz w:val="20"/>
                <w:szCs w:val="20"/>
                <w:lang w:bidi="ar"/>
              </w:rPr>
              <w:t>）</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从事拍卖业务许可</w:t>
            </w:r>
          </w:p>
        </w:tc>
        <w:tc>
          <w:tcPr>
            <w:tcW w:w="2668"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最近两年经会计师事务所审计的年度财务会计报表</w:t>
            </w:r>
          </w:p>
        </w:tc>
        <w:tc>
          <w:tcPr>
            <w:tcW w:w="1178" w:type="dxa"/>
            <w:vMerge w:val="restart"/>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vMerge w:val="restart"/>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《拍卖管理办法》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vMerge w:val="continue"/>
            <w:vAlign w:val="center"/>
          </w:tcPr>
          <w:p>
            <w:pPr>
              <w:widowControl/>
              <w:spacing w:line="320" w:lineRule="exact"/>
              <w:rPr>
                <w:rFonts w:ascii="Times New Roman" w:hAnsi="Times New Roman" w:eastAsia="仿宋_GB2312"/>
                <w:color w:val="000000"/>
                <w:kern w:val="0"/>
                <w:sz w:val="20"/>
                <w:szCs w:val="20"/>
              </w:rPr>
            </w:pPr>
          </w:p>
        </w:tc>
        <w:tc>
          <w:tcPr>
            <w:tcW w:w="1178" w:type="dxa"/>
            <w:vMerge w:val="continue"/>
            <w:vAlign w:val="center"/>
          </w:tcPr>
          <w:p>
            <w:pPr>
              <w:widowControl/>
              <w:rPr>
                <w:rFonts w:ascii="Times New Roman" w:hAnsi="Times New Roman" w:eastAsia="仿宋_GB2312"/>
                <w:color w:val="000000"/>
                <w:kern w:val="0"/>
                <w:sz w:val="20"/>
                <w:szCs w:val="20"/>
              </w:rPr>
            </w:pP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vMerge w:val="continue"/>
            <w:vAlign w:val="center"/>
          </w:tcPr>
          <w:p>
            <w:pPr>
              <w:widowControl/>
              <w:spacing w:line="320" w:lineRule="exact"/>
              <w:rPr>
                <w:rFonts w:ascii="Times New Roman" w:hAnsi="Times New Roman" w:eastAsia="仿宋_GB2312"/>
                <w:color w:val="000000"/>
                <w:kern w:val="0"/>
                <w:sz w:val="20"/>
                <w:szCs w:val="20"/>
              </w:rPr>
            </w:pPr>
          </w:p>
        </w:tc>
        <w:tc>
          <w:tcPr>
            <w:tcW w:w="1178" w:type="dxa"/>
            <w:vMerge w:val="continue"/>
            <w:vAlign w:val="center"/>
          </w:tcPr>
          <w:p>
            <w:pPr>
              <w:widowControl/>
              <w:rPr>
                <w:rFonts w:ascii="Times New Roman" w:hAnsi="Times New Roman" w:eastAsia="仿宋_GB2312"/>
                <w:color w:val="000000"/>
                <w:kern w:val="0"/>
                <w:sz w:val="20"/>
                <w:szCs w:val="20"/>
              </w:rPr>
            </w:pP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10</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市商务局</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对外劳务合作经营资格核准</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企业验资报告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《对外劳务合作管理条例》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10"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11</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市水务局</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（除市内六区）</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水利基建项目初步设计文件审批</w:t>
            </w:r>
          </w:p>
        </w:tc>
        <w:tc>
          <w:tcPr>
            <w:tcW w:w="2668"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初步设计报告</w:t>
            </w:r>
          </w:p>
        </w:tc>
        <w:tc>
          <w:tcPr>
            <w:tcW w:w="1178" w:type="dxa"/>
            <w:vMerge w:val="restart"/>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具有相应资质的设计单位</w:t>
            </w:r>
          </w:p>
        </w:tc>
        <w:tc>
          <w:tcPr>
            <w:tcW w:w="2923" w:type="dxa"/>
            <w:vMerge w:val="restart"/>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《水利工程建设程序管理暂行办法》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《天津市政府投资管理条例实施细则》</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《建设工程质量管理条例》</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《建设工程勘察设计管理条例》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vMerge w:val="continue"/>
            <w:vAlign w:val="center"/>
          </w:tcPr>
          <w:p>
            <w:pPr>
              <w:widowControl/>
              <w:spacing w:line="320" w:lineRule="exact"/>
              <w:rPr>
                <w:rFonts w:ascii="Times New Roman" w:hAnsi="Times New Roman" w:eastAsia="仿宋_GB2312"/>
                <w:color w:val="000000"/>
                <w:kern w:val="0"/>
                <w:sz w:val="20"/>
                <w:szCs w:val="20"/>
              </w:rPr>
            </w:pPr>
          </w:p>
        </w:tc>
        <w:tc>
          <w:tcPr>
            <w:tcW w:w="1178" w:type="dxa"/>
            <w:vMerge w:val="continue"/>
            <w:vAlign w:val="center"/>
          </w:tcPr>
          <w:p>
            <w:pPr>
              <w:widowControl/>
              <w:rPr>
                <w:rFonts w:ascii="Times New Roman" w:hAnsi="Times New Roman" w:eastAsia="仿宋_GB2312"/>
                <w:color w:val="000000"/>
                <w:kern w:val="0"/>
                <w:sz w:val="20"/>
                <w:szCs w:val="20"/>
              </w:rPr>
            </w:pP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vMerge w:val="continue"/>
            <w:vAlign w:val="center"/>
          </w:tcPr>
          <w:p>
            <w:pPr>
              <w:widowControl/>
              <w:spacing w:line="320" w:lineRule="exact"/>
              <w:rPr>
                <w:rFonts w:ascii="Times New Roman" w:hAnsi="Times New Roman" w:eastAsia="仿宋_GB2312"/>
                <w:color w:val="000000"/>
                <w:kern w:val="0"/>
                <w:sz w:val="20"/>
                <w:szCs w:val="20"/>
              </w:rPr>
            </w:pPr>
          </w:p>
        </w:tc>
        <w:tc>
          <w:tcPr>
            <w:tcW w:w="1178" w:type="dxa"/>
            <w:vMerge w:val="continue"/>
            <w:vAlign w:val="center"/>
          </w:tcPr>
          <w:p>
            <w:pPr>
              <w:widowControl/>
              <w:rPr>
                <w:rFonts w:ascii="Times New Roman" w:hAnsi="Times New Roman" w:eastAsia="仿宋_GB2312"/>
                <w:color w:val="000000"/>
                <w:kern w:val="0"/>
                <w:sz w:val="20"/>
                <w:szCs w:val="20"/>
              </w:rPr>
            </w:pPr>
          </w:p>
        </w:tc>
        <w:tc>
          <w:tcPr>
            <w:tcW w:w="2923" w:type="dxa"/>
            <w:vMerge w:val="continue"/>
            <w:vAlign w:val="center"/>
          </w:tcPr>
          <w:p>
            <w:pPr>
              <w:widowControl/>
              <w:rPr>
                <w:rFonts w:ascii="Times New Roman" w:hAnsi="Times New Roman" w:eastAsia="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12</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市市场监管委</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（2022年5月1日起，在</w:t>
            </w:r>
            <w:r>
              <w:rPr>
                <w:rFonts w:hint="eastAsia" w:ascii="Times New Roman" w:hAnsi="Times New Roman" w:eastAsia="仿宋_GB2312"/>
                <w:color w:val="000000"/>
                <w:kern w:val="0"/>
                <w:sz w:val="20"/>
                <w:szCs w:val="20"/>
              </w:rPr>
              <w:t>天津</w:t>
            </w:r>
            <w:r>
              <w:rPr>
                <w:rFonts w:ascii="Times New Roman" w:hAnsi="Times New Roman" w:eastAsia="仿宋_GB2312"/>
                <w:color w:val="000000"/>
                <w:kern w:val="0"/>
                <w:sz w:val="20"/>
                <w:szCs w:val="20"/>
              </w:rPr>
              <w:t>自贸试验区新成立的市场主体除外）</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企业登记注册</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募集设立的股份有限公司提交依法设立的验资机构出具的验资证明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《公司法》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《市场主体登记管理条例》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3</w:t>
            </w:r>
          </w:p>
        </w:tc>
        <w:tc>
          <w:tcPr>
            <w:tcW w:w="1443" w:type="dxa"/>
            <w:vMerge w:val="restart"/>
            <w:shd w:val="clear" w:color="auto" w:fill="FFFFFF"/>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vMerge w:val="restart"/>
            <w:shd w:val="clear" w:color="auto" w:fill="FFFFFF"/>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医疗机构建设项目放射性职业病防护设施竣工验收</w:t>
            </w:r>
          </w:p>
        </w:tc>
        <w:tc>
          <w:tcPr>
            <w:tcW w:w="2668" w:type="dxa"/>
            <w:shd w:val="clear" w:color="auto" w:fill="FFFFFF"/>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职业病危害预评价报告书（表）</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放射卫生评价机构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《放射诊疗建设项目卫生审查管理规定》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放射诊疗建设项目职业病危害控制效果放射防护评价报告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放射卫生评价机构</w:t>
            </w:r>
          </w:p>
        </w:tc>
        <w:tc>
          <w:tcPr>
            <w:tcW w:w="2923"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《放射诊疗建设项目卫生审查管理规定》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4</w:t>
            </w:r>
          </w:p>
        </w:tc>
        <w:tc>
          <w:tcPr>
            <w:tcW w:w="1443" w:type="dxa"/>
            <w:shd w:val="clear" w:color="auto" w:fill="FFFFFF"/>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不涉及</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饮用水</w:t>
            </w:r>
            <w:r>
              <w:rPr>
                <w:rFonts w:ascii="Times New Roman" w:hAnsi="Times New Roman" w:eastAsia="仿宋_GB2312"/>
                <w:kern w:val="0"/>
                <w:sz w:val="20"/>
                <w:szCs w:val="20"/>
              </w:rPr>
              <w:t>供水单位卫生许可</w:t>
            </w:r>
          </w:p>
        </w:tc>
        <w:tc>
          <w:tcPr>
            <w:tcW w:w="2668" w:type="dxa"/>
            <w:shd w:val="clear" w:color="auto" w:fill="FFFFFF"/>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水源水和出厂水的水质检测报告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水质检测和涉水产品检验机构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《生活饮用水卫生监督管理办法》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《生活饮用水集中式供水单位卫生规范》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5</w:t>
            </w:r>
          </w:p>
        </w:tc>
        <w:tc>
          <w:tcPr>
            <w:tcW w:w="1443" w:type="dxa"/>
            <w:shd w:val="clear" w:color="auto" w:fill="FFFFFF"/>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1711" w:type="dxa"/>
            <w:shd w:val="clear" w:color="auto" w:fill="FFFFFF"/>
            <w:vAlign w:val="center"/>
          </w:tcPr>
          <w:p>
            <w:pPr>
              <w:widowControl/>
              <w:spacing w:line="320" w:lineRule="exact"/>
              <w:rPr>
                <w:rFonts w:ascii="Times New Roman" w:hAnsi="Times New Roman" w:eastAsia="仿宋_GB2312"/>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2569" w:type="dxa"/>
            <w:shd w:val="clear" w:color="auto" w:fill="FFFFFF"/>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涉及饮用水卫生安全的产品卫生许可</w:t>
            </w:r>
          </w:p>
        </w:tc>
        <w:tc>
          <w:tcPr>
            <w:tcW w:w="2668" w:type="dxa"/>
            <w:shd w:val="clear" w:color="auto" w:fill="FFFFFF"/>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产品检验报告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水质检测和涉水产品检验机构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《省级涉及饮用水卫生安全产品卫生行政许可规定》附件1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6</w:t>
            </w:r>
          </w:p>
        </w:tc>
        <w:tc>
          <w:tcPr>
            <w:tcW w:w="1443" w:type="dxa"/>
            <w:shd w:val="clear" w:color="auto" w:fill="FFFFFF"/>
            <w:vAlign w:val="center"/>
          </w:tcPr>
          <w:p>
            <w:pPr>
              <w:widowControl/>
              <w:jc w:val="center"/>
              <w:rPr>
                <w:rFonts w:ascii="Times New Roman" w:hAnsi="Times New Roman" w:eastAsia="仿宋_GB2312"/>
                <w:kern w:val="0"/>
                <w:sz w:val="20"/>
                <w:szCs w:val="20"/>
              </w:rPr>
            </w:pPr>
            <w:r>
              <w:rPr>
                <w:rFonts w:hint="eastAsia" w:ascii="Times New Roman" w:hAnsi="Times New Roman" w:eastAsia="仿宋_GB2312"/>
                <w:kern w:val="0"/>
                <w:sz w:val="20"/>
                <w:szCs w:val="20"/>
              </w:rPr>
              <w:t>不涉及</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公共场所卫生许可</w:t>
            </w:r>
          </w:p>
        </w:tc>
        <w:tc>
          <w:tcPr>
            <w:tcW w:w="2668" w:type="dxa"/>
            <w:shd w:val="clear" w:color="auto" w:fill="FFFFFF"/>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卫生检测报告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公共场所卫生检测机构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《公共场所卫生管理条例实施细则》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7</w:t>
            </w:r>
          </w:p>
        </w:tc>
        <w:tc>
          <w:tcPr>
            <w:tcW w:w="1443" w:type="dxa"/>
            <w:shd w:val="clear" w:color="auto" w:fill="FFFFFF"/>
            <w:vAlign w:val="center"/>
          </w:tcPr>
          <w:p>
            <w:pPr>
              <w:widowControl/>
              <w:jc w:val="center"/>
              <w:rPr>
                <w:rFonts w:ascii="Times New Roman" w:hAnsi="Times New Roman" w:eastAsia="仿宋_GB2312"/>
                <w:kern w:val="0"/>
                <w:sz w:val="20"/>
                <w:szCs w:val="20"/>
              </w:rPr>
            </w:pPr>
            <w:r>
              <w:rPr>
                <w:rFonts w:ascii="Times New Roman" w:hAnsi="Times New Roman" w:eastAsia="仿宋_GB2312"/>
                <w:kern w:val="0"/>
                <w:sz w:val="20"/>
                <w:szCs w:val="20"/>
              </w:rPr>
              <w:t>市卫生健康委</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消毒产品生产单位审批</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生产环境和生产用水检测报告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消毒产品生产环境和生产用水检测报告编制机构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《消毒产品生产企业卫生许可规定》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w:t>
            </w:r>
            <w:r>
              <w:rPr>
                <w:rFonts w:hint="eastAsia" w:ascii="Times New Roman" w:hAnsi="Times New Roman" w:eastAsia="仿宋_GB2312"/>
                <w:color w:val="000000"/>
                <w:kern w:val="0"/>
                <w:sz w:val="20"/>
                <w:szCs w:val="20"/>
              </w:rPr>
              <w:t>8</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hint="eastAsia" w:eastAsia="仿宋_GB2312"/>
                <w:color w:val="000000"/>
                <w:kern w:val="0"/>
                <w:sz w:val="20"/>
                <w:szCs w:val="20"/>
                <w:lang w:bidi="ar"/>
              </w:rPr>
              <w:t>市政府（</w:t>
            </w:r>
            <w:r>
              <w:rPr>
                <w:rFonts w:ascii="Times New Roman" w:hAnsi="Times New Roman" w:eastAsia="仿宋_GB2312"/>
                <w:color w:val="000000"/>
                <w:kern w:val="0"/>
                <w:sz w:val="20"/>
                <w:szCs w:val="20"/>
              </w:rPr>
              <w:t>市教委</w:t>
            </w:r>
            <w:r>
              <w:rPr>
                <w:rFonts w:hint="eastAsia" w:ascii="Times New Roman" w:hAnsi="Times New Roman" w:eastAsia="仿宋_GB2312"/>
                <w:color w:val="000000"/>
                <w:kern w:val="0"/>
                <w:sz w:val="20"/>
                <w:szCs w:val="20"/>
              </w:rPr>
              <w:t>承办</w:t>
            </w:r>
            <w:r>
              <w:rPr>
                <w:rFonts w:hint="eastAsia" w:eastAsia="仿宋_GB2312"/>
                <w:color w:val="000000"/>
                <w:kern w:val="0"/>
                <w:sz w:val="20"/>
                <w:szCs w:val="20"/>
                <w:lang w:bidi="ar"/>
              </w:rPr>
              <w:t>）</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委托滨海新区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高等学校和其他高等教育机构筹设审批</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《民办教育促进法》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19</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市政府（</w:t>
            </w:r>
            <w:r>
              <w:rPr>
                <w:rFonts w:ascii="Times New Roman" w:hAnsi="Times New Roman" w:eastAsia="仿宋_GB2312"/>
                <w:color w:val="000000"/>
                <w:kern w:val="0"/>
                <w:sz w:val="20"/>
                <w:szCs w:val="20"/>
              </w:rPr>
              <w:t>市教委</w:t>
            </w:r>
            <w:r>
              <w:rPr>
                <w:rFonts w:hint="eastAsia" w:ascii="Times New Roman" w:hAnsi="Times New Roman" w:eastAsia="仿宋_GB2312"/>
                <w:color w:val="000000"/>
                <w:kern w:val="0"/>
                <w:sz w:val="20"/>
                <w:szCs w:val="20"/>
              </w:rPr>
              <w:t>承办）</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委托滨海新区有关行政审批主管部门实施</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高等学校和其他高等教育机构</w:t>
            </w:r>
            <w:r>
              <w:rPr>
                <w:rFonts w:ascii="Times New Roman" w:hAnsi="Times New Roman" w:eastAsia="仿宋_GB2312"/>
                <w:color w:val="000000"/>
                <w:kern w:val="0"/>
                <w:sz w:val="20"/>
                <w:szCs w:val="20"/>
              </w:rPr>
              <w:t>设置</w:t>
            </w:r>
            <w:r>
              <w:rPr>
                <w:rFonts w:hint="eastAsia" w:ascii="Times New Roman" w:hAnsi="Times New Roman" w:eastAsia="仿宋_GB2312"/>
                <w:color w:val="000000"/>
                <w:kern w:val="0"/>
                <w:sz w:val="20"/>
                <w:szCs w:val="20"/>
              </w:rPr>
              <w:t>审批</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《民办教育促进法》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shd w:val="clear" w:color="auto" w:fill="FFFFFF"/>
            <w:vAlign w:val="center"/>
          </w:tcPr>
          <w:p>
            <w:pPr>
              <w:widowControl/>
              <w:jc w:val="center"/>
              <w:rPr>
                <w:rFonts w:ascii="Times New Roman" w:hAnsi="Times New Roman" w:eastAsia="仿宋_GB2312"/>
                <w:color w:val="000000"/>
                <w:kern w:val="0"/>
                <w:sz w:val="20"/>
                <w:szCs w:val="20"/>
              </w:rPr>
            </w:pPr>
          </w:p>
        </w:tc>
        <w:tc>
          <w:tcPr>
            <w:tcW w:w="1711" w:type="dxa"/>
            <w:vMerge w:val="continue"/>
            <w:shd w:val="clear" w:color="auto" w:fill="FFFFFF"/>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shd w:val="clear" w:color="auto" w:fill="FFFFFF"/>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分立、合并、举办者或合作办学者变更、终止,需提供财务清算报告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《民办教育促进法》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20</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开办外籍人员子女学校审批</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拟建学校经费的验资证明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《国家教育委员会关于开办外籍人员子女学校的暂行管理办法》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vAlign w:val="center"/>
          </w:tcPr>
          <w:p>
            <w:pPr>
              <w:widowControl/>
              <w:jc w:val="center"/>
              <w:rPr>
                <w:rFonts w:ascii="Times New Roman" w:hAnsi="Times New Roman" w:eastAsia="仿宋_GB2312"/>
                <w:color w:val="000000"/>
                <w:kern w:val="0"/>
                <w:sz w:val="20"/>
                <w:szCs w:val="20"/>
              </w:rPr>
            </w:pPr>
          </w:p>
        </w:tc>
        <w:tc>
          <w:tcPr>
            <w:tcW w:w="1711" w:type="dxa"/>
            <w:vMerge w:val="continue"/>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变更举办者、终止，需提供财务清算报告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《民办教育促进法》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21</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中等及以下学校和其他教育机构设置审批</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设立，需提供学校资产的有效证明文件（验资证明和资产评估证明）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《民办教育促进法》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shd w:val="clear" w:color="auto" w:fill="FFFFFF"/>
            <w:vAlign w:val="center"/>
          </w:tcPr>
          <w:p>
            <w:pPr>
              <w:widowControl/>
              <w:jc w:val="center"/>
              <w:rPr>
                <w:rFonts w:ascii="Times New Roman" w:hAnsi="Times New Roman" w:eastAsia="仿宋_GB2312"/>
                <w:color w:val="000000"/>
                <w:kern w:val="0"/>
                <w:sz w:val="20"/>
                <w:szCs w:val="20"/>
              </w:rPr>
            </w:pPr>
          </w:p>
        </w:tc>
        <w:tc>
          <w:tcPr>
            <w:tcW w:w="1711" w:type="dxa"/>
            <w:vMerge w:val="continue"/>
            <w:shd w:val="clear" w:color="auto" w:fill="FFFFFF"/>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shd w:val="clear" w:color="auto" w:fill="FFFFFF"/>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分立、合并、举办者或合作办学者变更、终止，需提供财务清算报告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《民办教育促进法》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22</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市教委</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委托滨海新区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r>
              <w:rPr>
                <w:rFonts w:ascii="Times New Roman" w:hAnsi="Times New Roman" w:eastAsia="仿宋_GB2312"/>
                <w:color w:val="000000"/>
                <w:kern w:val="0"/>
                <w:sz w:val="20"/>
                <w:szCs w:val="20"/>
              </w:rPr>
              <w:t>实施；各区</w:t>
            </w:r>
            <w:r>
              <w:rPr>
                <w:rFonts w:hint="eastAsia" w:ascii="Times New Roman" w:hAnsi="Times New Roman" w:eastAsia="仿宋_GB2312"/>
                <w:color w:val="000000"/>
                <w:kern w:val="0"/>
                <w:sz w:val="20"/>
                <w:szCs w:val="20"/>
              </w:rPr>
              <w:t>有关</w:t>
            </w:r>
            <w:r>
              <w:rPr>
                <w:rFonts w:ascii="Times New Roman" w:hAnsi="Times New Roman" w:eastAsia="仿宋_GB2312"/>
                <w:color w:val="000000"/>
                <w:kern w:val="0"/>
                <w:sz w:val="20"/>
                <w:szCs w:val="20"/>
              </w:rPr>
              <w:t>行政审批</w:t>
            </w:r>
            <w:r>
              <w:rPr>
                <w:rFonts w:hint="eastAsia" w:ascii="Times New Roman" w:hAnsi="Times New Roman" w:eastAsia="仿宋_GB2312"/>
                <w:color w:val="000000"/>
                <w:kern w:val="0"/>
                <w:sz w:val="20"/>
                <w:szCs w:val="20"/>
              </w:rPr>
              <w:t>主管部门</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民办、中外合作开办中等及以下学校和其他教育机构筹设审批</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有资产、资金投入的，需提交验资证明和资产评估证明</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会计师事务所</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《民办教育促进法》</w:t>
            </w:r>
          </w:p>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《中外合作办学条例》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23</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市港航局</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港口经营许可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新建、改建、扩建储存、装卸危险货物港口设施的，提交安全设施验收合格证明材料；使用现有港口设施的，提交对现状的安全评价报告</w:t>
            </w:r>
          </w:p>
        </w:tc>
        <w:tc>
          <w:tcPr>
            <w:tcW w:w="1178"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《港口危险货物安全管理规定》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24</w:t>
            </w:r>
          </w:p>
        </w:tc>
        <w:tc>
          <w:tcPr>
            <w:tcW w:w="1443" w:type="dxa"/>
            <w:shd w:val="clear" w:color="auto"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市港航局</w:t>
            </w:r>
          </w:p>
        </w:tc>
        <w:tc>
          <w:tcPr>
            <w:tcW w:w="1711" w:type="dxa"/>
            <w:shd w:val="clear" w:color="auto" w:fill="FFFFFF"/>
            <w:vAlign w:val="center"/>
          </w:tcPr>
          <w:p>
            <w:pPr>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2569"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color w:val="000000"/>
                <w:kern w:val="0"/>
                <w:sz w:val="20"/>
                <w:szCs w:val="20"/>
                <w:lang w:bidi="ar"/>
              </w:rPr>
              <w:t>危险货物港口建设项目安全条件审查</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危险货物港口建设项目安全预评价报告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《港口危险货物安全管理规定》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25</w:t>
            </w:r>
          </w:p>
        </w:tc>
        <w:tc>
          <w:tcPr>
            <w:tcW w:w="1443" w:type="dxa"/>
            <w:shd w:val="clear" w:color="auto"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shd w:val="clear" w:color="auto" w:fill="FFFFFF"/>
            <w:vAlign w:val="center"/>
          </w:tcPr>
          <w:p>
            <w:pPr>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生产、储存危险化学品建设项目安全</w:t>
            </w:r>
            <w:r>
              <w:rPr>
                <w:rFonts w:ascii="Times New Roman" w:hAnsi="Times New Roman" w:eastAsia="仿宋_GB2312"/>
                <w:kern w:val="0"/>
                <w:sz w:val="20"/>
                <w:szCs w:val="20"/>
              </w:rPr>
              <w:t>条件</w:t>
            </w:r>
            <w:r>
              <w:rPr>
                <w:rFonts w:hint="eastAsia" w:ascii="Times New Roman" w:hAnsi="Times New Roman" w:eastAsia="仿宋_GB2312"/>
                <w:kern w:val="0"/>
                <w:sz w:val="20"/>
                <w:szCs w:val="20"/>
              </w:rPr>
              <w:t>审查</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《危险化学品建设项目安全监督管理办法》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10" w:type="dxa"/>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6</w:t>
            </w:r>
          </w:p>
        </w:tc>
        <w:tc>
          <w:tcPr>
            <w:tcW w:w="1443" w:type="dxa"/>
            <w:shd w:val="clear" w:color="auto" w:fill="FFFFFF"/>
            <w:vAlign w:val="center"/>
          </w:tcPr>
          <w:p>
            <w:pPr>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shd w:val="clear" w:color="auto" w:fill="FFFFFF"/>
            <w:vAlign w:val="center"/>
          </w:tcPr>
          <w:p>
            <w:pPr>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生产、储存危险化学品建设项目安全设施设计审查</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危险化学品建设项目安全设施设计专篇</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c>
          <w:tcPr>
            <w:tcW w:w="2923"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《危险化学品建设项目安全监督管理办法》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7</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vMerge w:val="restart"/>
            <w:shd w:val="clear" w:color="auto" w:fill="FFFFFF"/>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金属冶炼建设项目安全设施设计审查</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金属冶炼建设项目安全设施设计专篇</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c>
          <w:tcPr>
            <w:tcW w:w="2923"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《建设项目安全设施</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三同时</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监督管理暂行办法》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shd w:val="clear" w:color="auto" w:fill="FFFFFF"/>
            <w:vAlign w:val="center"/>
          </w:tcPr>
          <w:p>
            <w:pPr>
              <w:widowControl/>
              <w:jc w:val="center"/>
              <w:rPr>
                <w:rFonts w:ascii="Times New Roman" w:hAnsi="Times New Roman" w:eastAsia="仿宋_GB2312"/>
                <w:color w:val="000000"/>
                <w:kern w:val="0"/>
                <w:sz w:val="20"/>
                <w:szCs w:val="20"/>
              </w:rPr>
            </w:pPr>
          </w:p>
        </w:tc>
        <w:tc>
          <w:tcPr>
            <w:tcW w:w="1711" w:type="dxa"/>
            <w:vMerge w:val="continue"/>
            <w:shd w:val="clear" w:color="auto" w:fill="FFFFFF"/>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shd w:val="clear" w:color="auto" w:fill="FFFFFF"/>
            <w:vAlign w:val="center"/>
          </w:tcPr>
          <w:p>
            <w:pPr>
              <w:widowControl/>
              <w:rPr>
                <w:rFonts w:ascii="Times New Roman" w:hAnsi="Times New Roman" w:eastAsia="仿宋_GB2312"/>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金属冶炼建设项目安全预评价报告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《建设项目安全设施</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三同时</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监督管理暂行办法》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2</w:t>
            </w:r>
            <w:r>
              <w:rPr>
                <w:rFonts w:ascii="Times New Roman" w:hAnsi="Times New Roman" w:eastAsia="仿宋_GB2312"/>
                <w:color w:val="000000"/>
                <w:kern w:val="0"/>
                <w:sz w:val="20"/>
                <w:szCs w:val="20"/>
              </w:rPr>
              <w:t>8</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vMerge w:val="restart"/>
            <w:shd w:val="clear" w:color="auto" w:fill="FFFFFF"/>
            <w:vAlign w:val="center"/>
          </w:tcPr>
          <w:p>
            <w:pPr>
              <w:widowControl/>
              <w:rPr>
                <w:rFonts w:ascii="Times New Roman" w:hAnsi="Times New Roman" w:eastAsia="仿宋_GB2312"/>
                <w:kern w:val="0"/>
                <w:sz w:val="20"/>
                <w:szCs w:val="20"/>
              </w:rPr>
            </w:pPr>
            <w:r>
              <w:rPr>
                <w:rFonts w:hint="eastAsia" w:ascii="Times New Roman" w:hAnsi="Times New Roman" w:eastAsia="仿宋_GB2312"/>
                <w:kern w:val="0"/>
                <w:sz w:val="20"/>
                <w:szCs w:val="20"/>
              </w:rPr>
              <w:t>矿山建设项目安全设施设计审查</w:t>
            </w:r>
          </w:p>
        </w:tc>
        <w:tc>
          <w:tcPr>
            <w:tcW w:w="2668" w:type="dxa"/>
            <w:shd w:val="clear" w:color="auto" w:fill="FFFFFF"/>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安全预评价报告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kern w:val="0"/>
                <w:sz w:val="20"/>
                <w:szCs w:val="20"/>
              </w:rPr>
              <w:t>《建设项目安全设施</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三同时</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监督管理暂行办法》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shd w:val="clear" w:color="auto" w:fill="FFFFFF"/>
            <w:vAlign w:val="center"/>
          </w:tcPr>
          <w:p>
            <w:pPr>
              <w:widowControl/>
              <w:jc w:val="center"/>
              <w:rPr>
                <w:rFonts w:ascii="Times New Roman" w:hAnsi="Times New Roman" w:eastAsia="仿宋_GB2312"/>
                <w:color w:val="000000"/>
                <w:kern w:val="0"/>
                <w:sz w:val="20"/>
                <w:szCs w:val="20"/>
              </w:rPr>
            </w:pPr>
          </w:p>
        </w:tc>
        <w:tc>
          <w:tcPr>
            <w:tcW w:w="1711" w:type="dxa"/>
            <w:vMerge w:val="continue"/>
            <w:shd w:val="clear" w:color="auto" w:fill="FFFFFF"/>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shd w:val="clear" w:color="auto" w:fill="FFFFFF"/>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非煤矿矿山建设项目安全设施设计专篇</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c>
          <w:tcPr>
            <w:tcW w:w="2923"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《建设项目安全设施</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三同时</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监督管理暂行办法》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29</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vMerge w:val="restart"/>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石油天然气建设项目安全设施设计审查</w:t>
            </w:r>
          </w:p>
        </w:tc>
        <w:tc>
          <w:tcPr>
            <w:tcW w:w="2668" w:type="dxa"/>
            <w:shd w:val="clear" w:color="auto" w:fill="FFFFFF"/>
            <w:vAlign w:val="center"/>
          </w:tcPr>
          <w:p>
            <w:pPr>
              <w:widowControl/>
              <w:spacing w:line="320" w:lineRule="exact"/>
              <w:rPr>
                <w:rFonts w:ascii="Times New Roman" w:hAnsi="Times New Roman" w:eastAsia="仿宋_GB2312"/>
                <w:kern w:val="0"/>
                <w:sz w:val="20"/>
                <w:szCs w:val="20"/>
              </w:rPr>
            </w:pPr>
            <w:r>
              <w:rPr>
                <w:rFonts w:ascii="Times New Roman" w:hAnsi="Times New Roman" w:eastAsia="仿宋_GB2312"/>
                <w:kern w:val="0"/>
                <w:sz w:val="20"/>
                <w:szCs w:val="20"/>
              </w:rPr>
              <w:t>安全预评价报告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《建设项目安全设施</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三同时</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监督管理暂行办法》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shd w:val="clear" w:color="auto" w:fill="FFFFFF"/>
            <w:vAlign w:val="center"/>
          </w:tcPr>
          <w:p>
            <w:pPr>
              <w:widowControl/>
              <w:jc w:val="center"/>
              <w:rPr>
                <w:rFonts w:ascii="Times New Roman" w:hAnsi="Times New Roman" w:eastAsia="仿宋_GB2312"/>
                <w:color w:val="000000"/>
                <w:kern w:val="0"/>
                <w:sz w:val="20"/>
                <w:szCs w:val="20"/>
              </w:rPr>
            </w:pPr>
          </w:p>
        </w:tc>
        <w:tc>
          <w:tcPr>
            <w:tcW w:w="1711" w:type="dxa"/>
            <w:vMerge w:val="continue"/>
            <w:shd w:val="clear" w:color="auto" w:fill="FFFFFF"/>
            <w:vAlign w:val="center"/>
          </w:tcPr>
          <w:p>
            <w:pPr>
              <w:widowControl/>
              <w:spacing w:line="320" w:lineRule="exact"/>
              <w:rPr>
                <w:rFonts w:ascii="Times New Roman" w:hAnsi="Times New Roman" w:eastAsia="仿宋_GB2312"/>
                <w:color w:val="000000"/>
                <w:kern w:val="0"/>
                <w:sz w:val="20"/>
                <w:szCs w:val="20"/>
              </w:rPr>
            </w:pPr>
          </w:p>
        </w:tc>
        <w:tc>
          <w:tcPr>
            <w:tcW w:w="2569" w:type="dxa"/>
            <w:vMerge w:val="continue"/>
            <w:shd w:val="clear" w:color="auto" w:fill="FFFFFF"/>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石油天然气建设项目安全设施设计专篇</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c>
          <w:tcPr>
            <w:tcW w:w="2923"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《建设项目安全设施</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三同时</w:t>
            </w:r>
            <w:r>
              <w:rPr>
                <w:rFonts w:hint="eastAsia" w:ascii="仿宋_GB2312" w:hAnsi="仿宋_GB2312" w:eastAsia="仿宋_GB2312" w:cs="仿宋_GB2312"/>
                <w:kern w:val="0"/>
                <w:sz w:val="20"/>
                <w:szCs w:val="20"/>
              </w:rPr>
              <w:t>”</w:t>
            </w:r>
            <w:r>
              <w:rPr>
                <w:rFonts w:ascii="Times New Roman" w:hAnsi="Times New Roman" w:eastAsia="仿宋_GB2312"/>
                <w:kern w:val="0"/>
                <w:sz w:val="20"/>
                <w:szCs w:val="20"/>
              </w:rPr>
              <w:t>监督管理暂行办法》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30</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不涉及</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危险化学品生产企业安全生产许可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《危险化学品生产企业安全生产许可证实施办法》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31</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除中央管理企业外，其他企业委托各区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矿山企业安全生产许可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《非煤矿矿山企业安全生产许可证实施办法》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32</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shd w:val="clear" w:color="auto" w:fill="FFFFFF"/>
            <w:vAlign w:val="center"/>
          </w:tcPr>
          <w:p>
            <w:pPr>
              <w:widowControl/>
              <w:spacing w:line="320" w:lineRule="exact"/>
              <w:rPr>
                <w:rFonts w:eastAsia="仿宋_GB2312"/>
                <w:color w:val="000000"/>
                <w:kern w:val="0"/>
                <w:sz w:val="20"/>
                <w:szCs w:val="20"/>
                <w:lang w:bidi="ar"/>
              </w:rPr>
            </w:pPr>
            <w:r>
              <w:rPr>
                <w:rFonts w:eastAsia="仿宋_GB2312"/>
                <w:color w:val="000000"/>
                <w:kern w:val="0"/>
                <w:sz w:val="20"/>
                <w:szCs w:val="20"/>
                <w:lang w:bidi="ar"/>
              </w:rPr>
              <w:t>除中央管理企业外，其他企业委托各区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r>
              <w:rPr>
                <w:rFonts w:eastAsia="仿宋_GB2312"/>
                <w:color w:val="000000"/>
                <w:kern w:val="0"/>
                <w:sz w:val="20"/>
                <w:szCs w:val="20"/>
                <w:lang w:bidi="ar"/>
              </w:rPr>
              <w:t>实施</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石油天然气企业安全生产许可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《非煤矿矿山企业安全生产许可证实施办法》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33</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不涉及</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危险化学品安全使用许可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《危险化学品安全使用许可证实施办法》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10" w:type="dxa"/>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34</w:t>
            </w:r>
          </w:p>
        </w:tc>
        <w:tc>
          <w:tcPr>
            <w:tcW w:w="1443" w:type="dxa"/>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eastAsia="仿宋_GB2312"/>
                <w:color w:val="000000"/>
                <w:kern w:val="0"/>
                <w:sz w:val="20"/>
                <w:szCs w:val="20"/>
                <w:lang w:bidi="ar"/>
              </w:rPr>
              <w:t>各区</w:t>
            </w:r>
            <w:r>
              <w:rPr>
                <w:rFonts w:hint="eastAsia" w:eastAsia="仿宋_GB2312"/>
                <w:color w:val="000000"/>
                <w:kern w:val="0"/>
                <w:sz w:val="20"/>
                <w:szCs w:val="20"/>
                <w:lang w:bidi="ar"/>
              </w:rPr>
              <w:t>有关</w:t>
            </w:r>
            <w:r>
              <w:rPr>
                <w:rFonts w:eastAsia="仿宋_GB2312"/>
                <w:color w:val="000000"/>
                <w:kern w:val="0"/>
                <w:sz w:val="20"/>
                <w:szCs w:val="20"/>
                <w:lang w:bidi="ar"/>
              </w:rPr>
              <w:t>行政审批</w:t>
            </w:r>
            <w:r>
              <w:rPr>
                <w:rFonts w:hint="eastAsia" w:eastAsia="仿宋_GB2312"/>
                <w:color w:val="000000"/>
                <w:kern w:val="0"/>
                <w:sz w:val="20"/>
                <w:szCs w:val="20"/>
                <w:lang w:bidi="ar"/>
              </w:rPr>
              <w:t>主管部门</w:t>
            </w:r>
          </w:p>
        </w:tc>
        <w:tc>
          <w:tcPr>
            <w:tcW w:w="2569" w:type="dxa"/>
            <w:shd w:val="clear" w:color="auto" w:fill="FFFFFF"/>
            <w:vAlign w:val="center"/>
          </w:tcPr>
          <w:p>
            <w:pPr>
              <w:widowControl/>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危险化学品经营许可</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《危险化学品经营许可证管理办法》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vMerge w:val="restart"/>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35</w:t>
            </w:r>
          </w:p>
        </w:tc>
        <w:tc>
          <w:tcPr>
            <w:tcW w:w="1443" w:type="dxa"/>
            <w:vMerge w:val="restart"/>
            <w:shd w:val="clear" w:color="auto" w:fill="FFFFFF"/>
            <w:vAlign w:val="center"/>
          </w:tcPr>
          <w:p>
            <w:pPr>
              <w:widowControl/>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市应急局</w:t>
            </w:r>
          </w:p>
        </w:tc>
        <w:tc>
          <w:tcPr>
            <w:tcW w:w="1711" w:type="dxa"/>
            <w:vMerge w:val="restart"/>
            <w:shd w:val="clear" w:color="auto" w:fill="FFFFFF"/>
            <w:vAlign w:val="center"/>
          </w:tcPr>
          <w:p>
            <w:pPr>
              <w:widowControl/>
              <w:spacing w:line="320" w:lineRule="exact"/>
              <w:rPr>
                <w:rFonts w:eastAsia="仿宋_GB2312"/>
                <w:color w:val="000000"/>
                <w:kern w:val="0"/>
                <w:sz w:val="20"/>
                <w:szCs w:val="20"/>
                <w:lang w:bidi="ar"/>
              </w:rPr>
            </w:pPr>
            <w:r>
              <w:rPr>
                <w:rFonts w:eastAsia="仿宋_GB2312"/>
                <w:color w:val="000000"/>
                <w:kern w:val="0"/>
                <w:sz w:val="20"/>
                <w:szCs w:val="20"/>
                <w:lang w:bidi="ar"/>
              </w:rPr>
              <w:t>不涉及</w:t>
            </w:r>
          </w:p>
        </w:tc>
        <w:tc>
          <w:tcPr>
            <w:tcW w:w="2569" w:type="dxa"/>
            <w:vMerge w:val="restart"/>
            <w:shd w:val="clear" w:color="auto" w:fill="FFFFFF"/>
            <w:vAlign w:val="center"/>
          </w:tcPr>
          <w:p>
            <w:pPr>
              <w:widowControl/>
              <w:rPr>
                <w:rFonts w:ascii="Times New Roman" w:hAnsi="Times New Roman" w:eastAsia="仿宋_GB2312"/>
                <w:color w:val="000000"/>
                <w:kern w:val="0"/>
                <w:sz w:val="20"/>
                <w:szCs w:val="20"/>
              </w:rPr>
            </w:pPr>
            <w:r>
              <w:rPr>
                <w:rFonts w:eastAsia="仿宋_GB2312"/>
                <w:color w:val="000000"/>
                <w:kern w:val="0"/>
                <w:szCs w:val="21"/>
                <w:lang w:bidi="ar"/>
              </w:rPr>
              <w:t>烟花爆竹经营许可（批发）（已转禁止制）</w:t>
            </w: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hint="eastAsia" w:ascii="Times New Roman" w:hAnsi="Times New Roman" w:eastAsia="仿宋_GB2312"/>
                <w:color w:val="000000"/>
                <w:kern w:val="0"/>
                <w:sz w:val="20"/>
                <w:szCs w:val="20"/>
              </w:rPr>
              <w:t>库区外部安全距离实测图和库区仓储设施平面布置图</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设计单位</w:t>
            </w:r>
          </w:p>
        </w:tc>
        <w:tc>
          <w:tcPr>
            <w:tcW w:w="2923" w:type="dxa"/>
            <w:vMerge w:val="restart"/>
            <w:shd w:val="clear" w:color="auto" w:fill="FFFFFF"/>
            <w:vAlign w:val="center"/>
          </w:tcPr>
          <w:p>
            <w:pPr>
              <w:widowControl/>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《烟花爆竹经营许可实施办法》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0" w:type="dxa"/>
            <w:vMerge w:val="continue"/>
            <w:vAlign w:val="center"/>
          </w:tcPr>
          <w:p>
            <w:pPr>
              <w:widowControl/>
              <w:jc w:val="center"/>
              <w:rPr>
                <w:rFonts w:ascii="Times New Roman" w:hAnsi="Times New Roman" w:eastAsia="仿宋_GB2312"/>
                <w:color w:val="000000"/>
                <w:kern w:val="0"/>
                <w:sz w:val="20"/>
                <w:szCs w:val="20"/>
              </w:rPr>
            </w:pPr>
          </w:p>
        </w:tc>
        <w:tc>
          <w:tcPr>
            <w:tcW w:w="1443" w:type="dxa"/>
            <w:vMerge w:val="continue"/>
            <w:shd w:val="clear" w:color="auto" w:fill="FFFFFF"/>
            <w:vAlign w:val="center"/>
          </w:tcPr>
          <w:p>
            <w:pPr>
              <w:widowControl/>
              <w:jc w:val="center"/>
              <w:rPr>
                <w:rFonts w:ascii="Times New Roman" w:hAnsi="Times New Roman" w:eastAsia="仿宋_GB2312"/>
                <w:color w:val="000000"/>
                <w:kern w:val="0"/>
                <w:sz w:val="20"/>
                <w:szCs w:val="20"/>
              </w:rPr>
            </w:pPr>
          </w:p>
        </w:tc>
        <w:tc>
          <w:tcPr>
            <w:tcW w:w="1711" w:type="dxa"/>
            <w:vMerge w:val="continue"/>
            <w:shd w:val="clear" w:color="auto" w:fill="FFFFFF"/>
            <w:vAlign w:val="center"/>
          </w:tcPr>
          <w:p>
            <w:pPr>
              <w:widowControl/>
              <w:spacing w:line="320" w:lineRule="exact"/>
              <w:rPr>
                <w:rFonts w:eastAsia="仿宋_GB2312"/>
                <w:color w:val="000000"/>
                <w:kern w:val="0"/>
                <w:sz w:val="20"/>
                <w:szCs w:val="20"/>
                <w:lang w:bidi="ar"/>
              </w:rPr>
            </w:pPr>
          </w:p>
        </w:tc>
        <w:tc>
          <w:tcPr>
            <w:tcW w:w="2569" w:type="dxa"/>
            <w:vMerge w:val="continue"/>
            <w:shd w:val="clear" w:color="auto" w:fill="FFFFFF"/>
            <w:vAlign w:val="center"/>
          </w:tcPr>
          <w:p>
            <w:pPr>
              <w:widowControl/>
              <w:rPr>
                <w:rFonts w:ascii="Times New Roman" w:hAnsi="Times New Roman" w:eastAsia="仿宋_GB2312"/>
                <w:color w:val="000000"/>
                <w:kern w:val="0"/>
                <w:sz w:val="20"/>
                <w:szCs w:val="20"/>
              </w:rPr>
            </w:pPr>
          </w:p>
        </w:tc>
        <w:tc>
          <w:tcPr>
            <w:tcW w:w="2668" w:type="dxa"/>
            <w:shd w:val="clear" w:color="auto" w:fill="FFFFFF"/>
            <w:vAlign w:val="center"/>
          </w:tcPr>
          <w:p>
            <w:pPr>
              <w:widowControl/>
              <w:spacing w:line="320" w:lineRule="exact"/>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安全评价报告</w:t>
            </w:r>
          </w:p>
        </w:tc>
        <w:tc>
          <w:tcPr>
            <w:tcW w:w="1178" w:type="dxa"/>
            <w:shd w:val="clear" w:color="auto" w:fill="FFFFFF"/>
            <w:vAlign w:val="center"/>
          </w:tcPr>
          <w:p>
            <w:pPr>
              <w:widowControl/>
              <w:rPr>
                <w:rFonts w:ascii="Times New Roman" w:hAnsi="Times New Roman" w:eastAsia="仿宋_GB2312"/>
                <w:kern w:val="0"/>
                <w:sz w:val="20"/>
                <w:szCs w:val="20"/>
              </w:rPr>
            </w:pPr>
            <w:r>
              <w:rPr>
                <w:rFonts w:ascii="Times New Roman" w:hAnsi="Times New Roman" w:eastAsia="仿宋_GB2312"/>
                <w:kern w:val="0"/>
                <w:sz w:val="20"/>
                <w:szCs w:val="20"/>
              </w:rPr>
              <w:t>安全评价机构</w:t>
            </w:r>
          </w:p>
        </w:tc>
        <w:tc>
          <w:tcPr>
            <w:tcW w:w="2923" w:type="dxa"/>
            <w:vMerge w:val="continue"/>
            <w:shd w:val="clear" w:color="auto" w:fill="FFFFFF"/>
            <w:vAlign w:val="center"/>
          </w:tcPr>
          <w:p>
            <w:pPr>
              <w:widowControl/>
              <w:rPr>
                <w:rFonts w:ascii="Times New Roman" w:hAnsi="Times New Roman" w:eastAsia="仿宋_GB2312"/>
                <w:color w:val="000000"/>
                <w:kern w:val="0"/>
                <w:sz w:val="20"/>
                <w:szCs w:val="20"/>
              </w:rPr>
            </w:pPr>
          </w:p>
        </w:tc>
      </w:tr>
    </w:tbl>
    <w:p>
      <w:pPr>
        <w:widowControl/>
        <w:jc w:val="left"/>
        <w:rPr>
          <w:rFonts w:ascii="Times New Roman" w:hAnsi="Times New Roman" w:eastAsia="仿宋_GB2312"/>
          <w:sz w:val="32"/>
          <w:szCs w:val="32"/>
        </w:rPr>
        <w:sectPr>
          <w:footerReference r:id="rId3" w:type="default"/>
          <w:footerReference r:id="rId4" w:type="even"/>
          <w:pgSz w:w="16838" w:h="11906" w:orient="landscape"/>
          <w:pgMar w:top="1474" w:right="1985" w:bottom="1588" w:left="2098" w:header="851" w:footer="992" w:gutter="0"/>
          <w:cols w:space="720" w:num="1"/>
          <w:docGrid w:type="lines" w:linePitch="312" w:charSpace="0"/>
        </w:sectPr>
      </w:pPr>
      <w:bookmarkStart w:id="0" w:name="_GoBack"/>
      <w:bookmarkEnd w:id="0"/>
    </w:p>
    <w:p>
      <w:pPr>
        <w:adjustRightInd w:val="0"/>
        <w:snapToGrid w:val="0"/>
        <w:spacing w:line="579" w:lineRule="atLeast"/>
        <w:jc w:val="both"/>
      </w:pPr>
    </w:p>
    <w:sectPr>
      <w:footerReference r:id="rId5" w:type="default"/>
      <w:footerReference r:id="rId6"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57555" cy="230505"/>
              <wp:effectExtent l="0" t="0" r="4445" b="171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57555" cy="230505"/>
                      </a:xfrm>
                      <a:prstGeom prst="rect">
                        <a:avLst/>
                      </a:prstGeom>
                      <a:noFill/>
                      <a:ln>
                        <a:noFill/>
                      </a:ln>
                    </wps:spPr>
                    <wps:txbx>
                      <w:txbxContent>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9.65pt;mso-position-horizontal:outside;mso-position-horizontal-relative:margin;z-index:251659264;mso-width-relative:page;mso-height-relative:page;" filled="f" stroked="f" coordsize="21600,21600" o:gfxdata="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hA6h0gAAAAQBAAAPAAAAAAAAAAEAIAAAACIAAABk&#10;cnMvZG93bnJldi54bWxQSwECFAAUAAAACACHTuJAObkB8gwCAAAEBAAADgAAAAAAAAABACAAAAAh&#10;AQAAZHJzL2Uyb0RvYy54bWxQSwUGAAAAAAYABgBZAQAAnwUAAAAA&#10;">
              <v:fill on="f" focussize="0,0"/>
              <v:stroke on="f"/>
              <v:imagedata o:title=""/>
              <o:lock v:ext="edit" aspectratio="f"/>
              <v:textbox inset="0mm,0mm,0mm,0mm" style="mso-fit-shape-to-text:t;">
                <w:txbxContent>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57555" cy="230505"/>
              <wp:effectExtent l="0" t="0" r="4445" b="171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57555" cy="230505"/>
                      </a:xfrm>
                      <a:prstGeom prst="rect">
                        <a:avLst/>
                      </a:prstGeom>
                      <a:noFill/>
                      <a:ln>
                        <a:noFill/>
                      </a:ln>
                    </wps:spPr>
                    <wps:txbx>
                      <w:txbxContent>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8.15pt;width:59.65pt;mso-position-horizontal:outside;mso-position-horizontal-relative:margin;z-index:251660288;mso-width-relative:page;mso-height-relative:page;" filled="f" stroked="f" coordsize="21600,21600" o:gfxdata="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hA6h0gAAAAQBAAAPAAAAAAAAAAEAIAAAACIAAABkcnMv&#10;ZG93bnJldi54bWxQSwECFAAUAAAACACHTuJA66M3FwkCAAAEBAAADgAAAAAAAAABACAAAAAhAQAA&#10;ZHJzL2Uyb0RvYy54bWxQSwUGAAAAAAYABgBZAQAAnAUAAAAA&#10;">
              <v:fill on="f" focussize="0,0"/>
              <v:stroke on="f"/>
              <v:imagedata o:title=""/>
              <o:lock v:ext="edit" aspectratio="f"/>
              <v:textbox inset="0mm,0mm,0mm,0mm" style="mso-fit-shape-to-text:t;">
                <w:txbxContent>
                  <w:p>
                    <w:pPr>
                      <w:pStyle w:val="4"/>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EwNjRkYzljMDkwZWU1YTJmMWQ3ZTc2NTFmZjUifQ=="/>
  </w:docVars>
  <w:rsids>
    <w:rsidRoot w:val="00413D93"/>
    <w:rsid w:val="0001379B"/>
    <w:rsid w:val="000150A4"/>
    <w:rsid w:val="000151A2"/>
    <w:rsid w:val="000152FC"/>
    <w:rsid w:val="00025346"/>
    <w:rsid w:val="000316FF"/>
    <w:rsid w:val="000328F7"/>
    <w:rsid w:val="00034942"/>
    <w:rsid w:val="00040A72"/>
    <w:rsid w:val="0004287D"/>
    <w:rsid w:val="00046DB0"/>
    <w:rsid w:val="00051E7F"/>
    <w:rsid w:val="00053128"/>
    <w:rsid w:val="000722B2"/>
    <w:rsid w:val="0008076A"/>
    <w:rsid w:val="0008684B"/>
    <w:rsid w:val="00090285"/>
    <w:rsid w:val="00092223"/>
    <w:rsid w:val="00092323"/>
    <w:rsid w:val="00094669"/>
    <w:rsid w:val="00096609"/>
    <w:rsid w:val="00096DA6"/>
    <w:rsid w:val="000A02A0"/>
    <w:rsid w:val="000A0AD9"/>
    <w:rsid w:val="000A115D"/>
    <w:rsid w:val="000A12D6"/>
    <w:rsid w:val="000A3607"/>
    <w:rsid w:val="000A5762"/>
    <w:rsid w:val="000B147B"/>
    <w:rsid w:val="000B3385"/>
    <w:rsid w:val="000B505B"/>
    <w:rsid w:val="000C16AE"/>
    <w:rsid w:val="000C5235"/>
    <w:rsid w:val="000D06D3"/>
    <w:rsid w:val="000D3D25"/>
    <w:rsid w:val="000E1990"/>
    <w:rsid w:val="000E5E40"/>
    <w:rsid w:val="000E712D"/>
    <w:rsid w:val="000F184D"/>
    <w:rsid w:val="000F383E"/>
    <w:rsid w:val="000F4255"/>
    <w:rsid w:val="00107C9F"/>
    <w:rsid w:val="00112EB2"/>
    <w:rsid w:val="0011355E"/>
    <w:rsid w:val="00117CBB"/>
    <w:rsid w:val="001257C4"/>
    <w:rsid w:val="00125839"/>
    <w:rsid w:val="001301A3"/>
    <w:rsid w:val="00134A23"/>
    <w:rsid w:val="001370C1"/>
    <w:rsid w:val="00140E41"/>
    <w:rsid w:val="00147C04"/>
    <w:rsid w:val="0015142A"/>
    <w:rsid w:val="00154250"/>
    <w:rsid w:val="0015539F"/>
    <w:rsid w:val="00161A6B"/>
    <w:rsid w:val="00170AD1"/>
    <w:rsid w:val="00172E95"/>
    <w:rsid w:val="00182888"/>
    <w:rsid w:val="00184A21"/>
    <w:rsid w:val="00186DAC"/>
    <w:rsid w:val="00193F4C"/>
    <w:rsid w:val="00197C8C"/>
    <w:rsid w:val="00197F7E"/>
    <w:rsid w:val="001A23F5"/>
    <w:rsid w:val="001B7A69"/>
    <w:rsid w:val="001C54E3"/>
    <w:rsid w:val="001C59E4"/>
    <w:rsid w:val="001C66F1"/>
    <w:rsid w:val="001C7EB6"/>
    <w:rsid w:val="001E0C1B"/>
    <w:rsid w:val="001E14DF"/>
    <w:rsid w:val="001E606A"/>
    <w:rsid w:val="001F2045"/>
    <w:rsid w:val="001F5C8A"/>
    <w:rsid w:val="001F6E81"/>
    <w:rsid w:val="0020015D"/>
    <w:rsid w:val="0020628E"/>
    <w:rsid w:val="0021073F"/>
    <w:rsid w:val="00226DFC"/>
    <w:rsid w:val="00227410"/>
    <w:rsid w:val="002321EC"/>
    <w:rsid w:val="0023282C"/>
    <w:rsid w:val="00234DDE"/>
    <w:rsid w:val="0023650A"/>
    <w:rsid w:val="00236CF7"/>
    <w:rsid w:val="00240BA9"/>
    <w:rsid w:val="0024651E"/>
    <w:rsid w:val="00250738"/>
    <w:rsid w:val="002507A4"/>
    <w:rsid w:val="0025551D"/>
    <w:rsid w:val="0026377D"/>
    <w:rsid w:val="00265C8C"/>
    <w:rsid w:val="00271FBC"/>
    <w:rsid w:val="002729F3"/>
    <w:rsid w:val="00273525"/>
    <w:rsid w:val="002755E2"/>
    <w:rsid w:val="00280714"/>
    <w:rsid w:val="00284524"/>
    <w:rsid w:val="002864C2"/>
    <w:rsid w:val="00287A82"/>
    <w:rsid w:val="00291582"/>
    <w:rsid w:val="002958CE"/>
    <w:rsid w:val="002A5087"/>
    <w:rsid w:val="002B25F3"/>
    <w:rsid w:val="002B5083"/>
    <w:rsid w:val="002B6E23"/>
    <w:rsid w:val="002C198C"/>
    <w:rsid w:val="002C467B"/>
    <w:rsid w:val="002C774A"/>
    <w:rsid w:val="002D1EED"/>
    <w:rsid w:val="002D3AD6"/>
    <w:rsid w:val="002D4376"/>
    <w:rsid w:val="002D4B51"/>
    <w:rsid w:val="002E0ADD"/>
    <w:rsid w:val="002E3136"/>
    <w:rsid w:val="002E5CDF"/>
    <w:rsid w:val="002E7A43"/>
    <w:rsid w:val="002E7DAA"/>
    <w:rsid w:val="002F14A2"/>
    <w:rsid w:val="002F5137"/>
    <w:rsid w:val="002F56CA"/>
    <w:rsid w:val="002F57DA"/>
    <w:rsid w:val="002F5936"/>
    <w:rsid w:val="002F7E15"/>
    <w:rsid w:val="00305B70"/>
    <w:rsid w:val="003065CD"/>
    <w:rsid w:val="003066CB"/>
    <w:rsid w:val="00307D0B"/>
    <w:rsid w:val="00310577"/>
    <w:rsid w:val="003124FA"/>
    <w:rsid w:val="00313305"/>
    <w:rsid w:val="003140C1"/>
    <w:rsid w:val="00314496"/>
    <w:rsid w:val="003160AB"/>
    <w:rsid w:val="003165B2"/>
    <w:rsid w:val="003202C5"/>
    <w:rsid w:val="00321081"/>
    <w:rsid w:val="00321582"/>
    <w:rsid w:val="0033721C"/>
    <w:rsid w:val="00342F95"/>
    <w:rsid w:val="00343F82"/>
    <w:rsid w:val="0034722F"/>
    <w:rsid w:val="00353FD9"/>
    <w:rsid w:val="003576B9"/>
    <w:rsid w:val="00357980"/>
    <w:rsid w:val="003604EC"/>
    <w:rsid w:val="00360F60"/>
    <w:rsid w:val="003632F9"/>
    <w:rsid w:val="0036458C"/>
    <w:rsid w:val="00364BB4"/>
    <w:rsid w:val="003662F4"/>
    <w:rsid w:val="00367269"/>
    <w:rsid w:val="00371F78"/>
    <w:rsid w:val="00377674"/>
    <w:rsid w:val="00381B48"/>
    <w:rsid w:val="00386AB9"/>
    <w:rsid w:val="003902FA"/>
    <w:rsid w:val="00390895"/>
    <w:rsid w:val="003A679E"/>
    <w:rsid w:val="003B05E4"/>
    <w:rsid w:val="003B1B83"/>
    <w:rsid w:val="003B4197"/>
    <w:rsid w:val="003C3736"/>
    <w:rsid w:val="003D5083"/>
    <w:rsid w:val="003D773D"/>
    <w:rsid w:val="003E0F9F"/>
    <w:rsid w:val="003E67DC"/>
    <w:rsid w:val="003E6FE5"/>
    <w:rsid w:val="003F140E"/>
    <w:rsid w:val="003F618D"/>
    <w:rsid w:val="003F7D73"/>
    <w:rsid w:val="00400829"/>
    <w:rsid w:val="0040218E"/>
    <w:rsid w:val="00402AA5"/>
    <w:rsid w:val="00402D5B"/>
    <w:rsid w:val="00403D8D"/>
    <w:rsid w:val="00406103"/>
    <w:rsid w:val="004063D6"/>
    <w:rsid w:val="0041086C"/>
    <w:rsid w:val="00410FF0"/>
    <w:rsid w:val="00411F1F"/>
    <w:rsid w:val="00413D93"/>
    <w:rsid w:val="004147DD"/>
    <w:rsid w:val="00420FF0"/>
    <w:rsid w:val="00426C29"/>
    <w:rsid w:val="00430D81"/>
    <w:rsid w:val="00431D26"/>
    <w:rsid w:val="00433359"/>
    <w:rsid w:val="00435E39"/>
    <w:rsid w:val="004369BA"/>
    <w:rsid w:val="00440FD0"/>
    <w:rsid w:val="00442B5A"/>
    <w:rsid w:val="00460458"/>
    <w:rsid w:val="0046651E"/>
    <w:rsid w:val="0047115A"/>
    <w:rsid w:val="004715D4"/>
    <w:rsid w:val="00471E5C"/>
    <w:rsid w:val="00473194"/>
    <w:rsid w:val="00477909"/>
    <w:rsid w:val="00477ABB"/>
    <w:rsid w:val="00483DBE"/>
    <w:rsid w:val="00487EFE"/>
    <w:rsid w:val="00492D01"/>
    <w:rsid w:val="004932A9"/>
    <w:rsid w:val="004946B9"/>
    <w:rsid w:val="00495D72"/>
    <w:rsid w:val="004A49F6"/>
    <w:rsid w:val="004B31B9"/>
    <w:rsid w:val="004B6A9D"/>
    <w:rsid w:val="004C7484"/>
    <w:rsid w:val="004D528C"/>
    <w:rsid w:val="004D604C"/>
    <w:rsid w:val="004E6366"/>
    <w:rsid w:val="004E718C"/>
    <w:rsid w:val="004F2517"/>
    <w:rsid w:val="004F29F6"/>
    <w:rsid w:val="004F60DD"/>
    <w:rsid w:val="00502353"/>
    <w:rsid w:val="0050564E"/>
    <w:rsid w:val="0050723A"/>
    <w:rsid w:val="0050743E"/>
    <w:rsid w:val="00510BD9"/>
    <w:rsid w:val="00512EE2"/>
    <w:rsid w:val="005218CC"/>
    <w:rsid w:val="005328E4"/>
    <w:rsid w:val="005435FC"/>
    <w:rsid w:val="005564A0"/>
    <w:rsid w:val="005612E8"/>
    <w:rsid w:val="0056240C"/>
    <w:rsid w:val="00562477"/>
    <w:rsid w:val="00563741"/>
    <w:rsid w:val="00564E78"/>
    <w:rsid w:val="00565154"/>
    <w:rsid w:val="00567FD5"/>
    <w:rsid w:val="005728E3"/>
    <w:rsid w:val="00574098"/>
    <w:rsid w:val="00582B1C"/>
    <w:rsid w:val="00582C8D"/>
    <w:rsid w:val="00583D5F"/>
    <w:rsid w:val="00584DFB"/>
    <w:rsid w:val="0059074B"/>
    <w:rsid w:val="00590791"/>
    <w:rsid w:val="0059365E"/>
    <w:rsid w:val="00593C6D"/>
    <w:rsid w:val="0059754F"/>
    <w:rsid w:val="005B0CC9"/>
    <w:rsid w:val="005B0E2F"/>
    <w:rsid w:val="005B55E3"/>
    <w:rsid w:val="005B78F9"/>
    <w:rsid w:val="005B79A1"/>
    <w:rsid w:val="005C38F1"/>
    <w:rsid w:val="005C752E"/>
    <w:rsid w:val="005C7B23"/>
    <w:rsid w:val="005C7E4F"/>
    <w:rsid w:val="005D0BC4"/>
    <w:rsid w:val="005D1EBE"/>
    <w:rsid w:val="005D3611"/>
    <w:rsid w:val="005E3C76"/>
    <w:rsid w:val="005E498D"/>
    <w:rsid w:val="005E6F02"/>
    <w:rsid w:val="005F0504"/>
    <w:rsid w:val="005F1863"/>
    <w:rsid w:val="005F26E5"/>
    <w:rsid w:val="005F7CD6"/>
    <w:rsid w:val="00604FCA"/>
    <w:rsid w:val="006104E0"/>
    <w:rsid w:val="00612196"/>
    <w:rsid w:val="00633575"/>
    <w:rsid w:val="006368B5"/>
    <w:rsid w:val="00637716"/>
    <w:rsid w:val="006512C4"/>
    <w:rsid w:val="006520E3"/>
    <w:rsid w:val="00653BC8"/>
    <w:rsid w:val="0065418C"/>
    <w:rsid w:val="006559A9"/>
    <w:rsid w:val="00656441"/>
    <w:rsid w:val="00660F01"/>
    <w:rsid w:val="00664505"/>
    <w:rsid w:val="0067046A"/>
    <w:rsid w:val="006822E8"/>
    <w:rsid w:val="00683406"/>
    <w:rsid w:val="00684666"/>
    <w:rsid w:val="006919DE"/>
    <w:rsid w:val="0069367A"/>
    <w:rsid w:val="00694673"/>
    <w:rsid w:val="00696540"/>
    <w:rsid w:val="006A37B2"/>
    <w:rsid w:val="006A4230"/>
    <w:rsid w:val="006B0783"/>
    <w:rsid w:val="006C131F"/>
    <w:rsid w:val="006C3FB7"/>
    <w:rsid w:val="006C41B3"/>
    <w:rsid w:val="006C5FFA"/>
    <w:rsid w:val="006C6068"/>
    <w:rsid w:val="006C76DD"/>
    <w:rsid w:val="006D4D24"/>
    <w:rsid w:val="006D53D7"/>
    <w:rsid w:val="006E2D87"/>
    <w:rsid w:val="006F32D3"/>
    <w:rsid w:val="006F3B20"/>
    <w:rsid w:val="00703E83"/>
    <w:rsid w:val="00704DB5"/>
    <w:rsid w:val="00713605"/>
    <w:rsid w:val="00714FAE"/>
    <w:rsid w:val="00715BE4"/>
    <w:rsid w:val="007164B8"/>
    <w:rsid w:val="00725854"/>
    <w:rsid w:val="00725B4B"/>
    <w:rsid w:val="00725D31"/>
    <w:rsid w:val="00727425"/>
    <w:rsid w:val="00731054"/>
    <w:rsid w:val="00732E71"/>
    <w:rsid w:val="007344F3"/>
    <w:rsid w:val="00735736"/>
    <w:rsid w:val="00741A47"/>
    <w:rsid w:val="00747DEE"/>
    <w:rsid w:val="00754022"/>
    <w:rsid w:val="00765C38"/>
    <w:rsid w:val="007664F7"/>
    <w:rsid w:val="00770770"/>
    <w:rsid w:val="00773266"/>
    <w:rsid w:val="0077498C"/>
    <w:rsid w:val="0078092E"/>
    <w:rsid w:val="00781143"/>
    <w:rsid w:val="00782016"/>
    <w:rsid w:val="00782D61"/>
    <w:rsid w:val="00782F9D"/>
    <w:rsid w:val="007855A6"/>
    <w:rsid w:val="00790D02"/>
    <w:rsid w:val="007959DB"/>
    <w:rsid w:val="00795CAC"/>
    <w:rsid w:val="007A3C6F"/>
    <w:rsid w:val="007A40FE"/>
    <w:rsid w:val="007B3B31"/>
    <w:rsid w:val="007B73AA"/>
    <w:rsid w:val="007B78BF"/>
    <w:rsid w:val="007C7135"/>
    <w:rsid w:val="007D508A"/>
    <w:rsid w:val="007E1BF8"/>
    <w:rsid w:val="007E437B"/>
    <w:rsid w:val="007E43CB"/>
    <w:rsid w:val="00807984"/>
    <w:rsid w:val="0081180A"/>
    <w:rsid w:val="0081335D"/>
    <w:rsid w:val="008252F0"/>
    <w:rsid w:val="00834601"/>
    <w:rsid w:val="00835DD6"/>
    <w:rsid w:val="00836173"/>
    <w:rsid w:val="00836929"/>
    <w:rsid w:val="008401A7"/>
    <w:rsid w:val="008414E8"/>
    <w:rsid w:val="00844F95"/>
    <w:rsid w:val="00847F53"/>
    <w:rsid w:val="0086482B"/>
    <w:rsid w:val="0087422C"/>
    <w:rsid w:val="00880F29"/>
    <w:rsid w:val="0088221F"/>
    <w:rsid w:val="00882656"/>
    <w:rsid w:val="00884FD6"/>
    <w:rsid w:val="00887EDA"/>
    <w:rsid w:val="0089439C"/>
    <w:rsid w:val="008943D3"/>
    <w:rsid w:val="008A2165"/>
    <w:rsid w:val="008A34C5"/>
    <w:rsid w:val="008A53D4"/>
    <w:rsid w:val="008A62C7"/>
    <w:rsid w:val="008A671C"/>
    <w:rsid w:val="008A7033"/>
    <w:rsid w:val="008A7EB1"/>
    <w:rsid w:val="008B4FDF"/>
    <w:rsid w:val="008C0B38"/>
    <w:rsid w:val="008D0580"/>
    <w:rsid w:val="008D0FA7"/>
    <w:rsid w:val="008D25EC"/>
    <w:rsid w:val="008D2B6A"/>
    <w:rsid w:val="008D5BDC"/>
    <w:rsid w:val="008E0373"/>
    <w:rsid w:val="008E485A"/>
    <w:rsid w:val="008F1CDB"/>
    <w:rsid w:val="008F7315"/>
    <w:rsid w:val="00926BE6"/>
    <w:rsid w:val="009273E6"/>
    <w:rsid w:val="00936A24"/>
    <w:rsid w:val="00940459"/>
    <w:rsid w:val="00941FAA"/>
    <w:rsid w:val="0094396F"/>
    <w:rsid w:val="00943DDB"/>
    <w:rsid w:val="00953335"/>
    <w:rsid w:val="00954BF0"/>
    <w:rsid w:val="00955C08"/>
    <w:rsid w:val="00956512"/>
    <w:rsid w:val="00956524"/>
    <w:rsid w:val="009566C1"/>
    <w:rsid w:val="00957604"/>
    <w:rsid w:val="00960C6D"/>
    <w:rsid w:val="00967871"/>
    <w:rsid w:val="009778EE"/>
    <w:rsid w:val="00987CEA"/>
    <w:rsid w:val="009928B6"/>
    <w:rsid w:val="0099344F"/>
    <w:rsid w:val="00994E07"/>
    <w:rsid w:val="009A1396"/>
    <w:rsid w:val="009A2E29"/>
    <w:rsid w:val="009B2C53"/>
    <w:rsid w:val="009B6138"/>
    <w:rsid w:val="009B737D"/>
    <w:rsid w:val="009B78FE"/>
    <w:rsid w:val="009C15BA"/>
    <w:rsid w:val="009C4EFE"/>
    <w:rsid w:val="009D4EAC"/>
    <w:rsid w:val="009D52E0"/>
    <w:rsid w:val="009D5827"/>
    <w:rsid w:val="009E3988"/>
    <w:rsid w:val="009E5E93"/>
    <w:rsid w:val="009E6DFE"/>
    <w:rsid w:val="009E7229"/>
    <w:rsid w:val="009F362B"/>
    <w:rsid w:val="009F43B5"/>
    <w:rsid w:val="009F585E"/>
    <w:rsid w:val="00A049EC"/>
    <w:rsid w:val="00A12923"/>
    <w:rsid w:val="00A14AAE"/>
    <w:rsid w:val="00A24940"/>
    <w:rsid w:val="00A264E9"/>
    <w:rsid w:val="00A26CFC"/>
    <w:rsid w:val="00A36529"/>
    <w:rsid w:val="00A37E3A"/>
    <w:rsid w:val="00A42107"/>
    <w:rsid w:val="00A42DF5"/>
    <w:rsid w:val="00A43326"/>
    <w:rsid w:val="00A43378"/>
    <w:rsid w:val="00A5295F"/>
    <w:rsid w:val="00A569AD"/>
    <w:rsid w:val="00A579F3"/>
    <w:rsid w:val="00A63200"/>
    <w:rsid w:val="00A642AB"/>
    <w:rsid w:val="00A715C5"/>
    <w:rsid w:val="00A76226"/>
    <w:rsid w:val="00A83725"/>
    <w:rsid w:val="00A90EB0"/>
    <w:rsid w:val="00A9347D"/>
    <w:rsid w:val="00A9702E"/>
    <w:rsid w:val="00A97958"/>
    <w:rsid w:val="00AA02EF"/>
    <w:rsid w:val="00AB1D4F"/>
    <w:rsid w:val="00AB53D9"/>
    <w:rsid w:val="00AC64E6"/>
    <w:rsid w:val="00AC7882"/>
    <w:rsid w:val="00AD0D5E"/>
    <w:rsid w:val="00AD3E86"/>
    <w:rsid w:val="00AD44AF"/>
    <w:rsid w:val="00AD475F"/>
    <w:rsid w:val="00AD5FF3"/>
    <w:rsid w:val="00AD6601"/>
    <w:rsid w:val="00AD71AE"/>
    <w:rsid w:val="00AD7F00"/>
    <w:rsid w:val="00AE1CDB"/>
    <w:rsid w:val="00AE25B7"/>
    <w:rsid w:val="00AE44D3"/>
    <w:rsid w:val="00AE4B25"/>
    <w:rsid w:val="00AE5D89"/>
    <w:rsid w:val="00AF761B"/>
    <w:rsid w:val="00B02830"/>
    <w:rsid w:val="00B0359A"/>
    <w:rsid w:val="00B07808"/>
    <w:rsid w:val="00B10EA3"/>
    <w:rsid w:val="00B12703"/>
    <w:rsid w:val="00B12D91"/>
    <w:rsid w:val="00B17C1A"/>
    <w:rsid w:val="00B21B33"/>
    <w:rsid w:val="00B26D46"/>
    <w:rsid w:val="00B30D20"/>
    <w:rsid w:val="00B31588"/>
    <w:rsid w:val="00B3178A"/>
    <w:rsid w:val="00B31820"/>
    <w:rsid w:val="00B46948"/>
    <w:rsid w:val="00B53608"/>
    <w:rsid w:val="00B557B1"/>
    <w:rsid w:val="00B63A95"/>
    <w:rsid w:val="00B71764"/>
    <w:rsid w:val="00B71EB1"/>
    <w:rsid w:val="00B73AA3"/>
    <w:rsid w:val="00B73ACC"/>
    <w:rsid w:val="00B83D34"/>
    <w:rsid w:val="00B93CFA"/>
    <w:rsid w:val="00BA1D5E"/>
    <w:rsid w:val="00BA3F1D"/>
    <w:rsid w:val="00BA43C5"/>
    <w:rsid w:val="00BA4A06"/>
    <w:rsid w:val="00BA4FF4"/>
    <w:rsid w:val="00BA5C32"/>
    <w:rsid w:val="00BB0198"/>
    <w:rsid w:val="00BB12CC"/>
    <w:rsid w:val="00BC0016"/>
    <w:rsid w:val="00BC03DA"/>
    <w:rsid w:val="00BC2B06"/>
    <w:rsid w:val="00BC4435"/>
    <w:rsid w:val="00BD1C13"/>
    <w:rsid w:val="00BD3C00"/>
    <w:rsid w:val="00BD62A6"/>
    <w:rsid w:val="00BE4FAE"/>
    <w:rsid w:val="00BE6F35"/>
    <w:rsid w:val="00BF02EA"/>
    <w:rsid w:val="00BF0889"/>
    <w:rsid w:val="00BF1324"/>
    <w:rsid w:val="00BF3828"/>
    <w:rsid w:val="00BF4D89"/>
    <w:rsid w:val="00BF6EA8"/>
    <w:rsid w:val="00C00674"/>
    <w:rsid w:val="00C006E4"/>
    <w:rsid w:val="00C1314E"/>
    <w:rsid w:val="00C13ECD"/>
    <w:rsid w:val="00C143A3"/>
    <w:rsid w:val="00C22AE5"/>
    <w:rsid w:val="00C24196"/>
    <w:rsid w:val="00C24229"/>
    <w:rsid w:val="00C31148"/>
    <w:rsid w:val="00C31CF7"/>
    <w:rsid w:val="00C34496"/>
    <w:rsid w:val="00C43D84"/>
    <w:rsid w:val="00C50699"/>
    <w:rsid w:val="00C51B85"/>
    <w:rsid w:val="00C5352B"/>
    <w:rsid w:val="00C559BF"/>
    <w:rsid w:val="00C55A51"/>
    <w:rsid w:val="00C60203"/>
    <w:rsid w:val="00C60AE4"/>
    <w:rsid w:val="00C61E04"/>
    <w:rsid w:val="00C807BE"/>
    <w:rsid w:val="00C80BBE"/>
    <w:rsid w:val="00C856B7"/>
    <w:rsid w:val="00C86063"/>
    <w:rsid w:val="00C8705B"/>
    <w:rsid w:val="00C91CFB"/>
    <w:rsid w:val="00C93BC8"/>
    <w:rsid w:val="00C954F0"/>
    <w:rsid w:val="00C96DD9"/>
    <w:rsid w:val="00C97C9E"/>
    <w:rsid w:val="00CA0048"/>
    <w:rsid w:val="00CA21F4"/>
    <w:rsid w:val="00CB5E25"/>
    <w:rsid w:val="00CC2570"/>
    <w:rsid w:val="00CC3140"/>
    <w:rsid w:val="00CC43F3"/>
    <w:rsid w:val="00CD1F03"/>
    <w:rsid w:val="00CD39E8"/>
    <w:rsid w:val="00CD4112"/>
    <w:rsid w:val="00CE20F1"/>
    <w:rsid w:val="00CE531D"/>
    <w:rsid w:val="00CF5649"/>
    <w:rsid w:val="00D0092F"/>
    <w:rsid w:val="00D056C8"/>
    <w:rsid w:val="00D11818"/>
    <w:rsid w:val="00D1193C"/>
    <w:rsid w:val="00D13CD0"/>
    <w:rsid w:val="00D30D92"/>
    <w:rsid w:val="00D33D7E"/>
    <w:rsid w:val="00D340A2"/>
    <w:rsid w:val="00D34D90"/>
    <w:rsid w:val="00D40D14"/>
    <w:rsid w:val="00D41175"/>
    <w:rsid w:val="00D6292C"/>
    <w:rsid w:val="00D62997"/>
    <w:rsid w:val="00D6512F"/>
    <w:rsid w:val="00D6577E"/>
    <w:rsid w:val="00D66377"/>
    <w:rsid w:val="00D66AC9"/>
    <w:rsid w:val="00D74B65"/>
    <w:rsid w:val="00D75A6A"/>
    <w:rsid w:val="00D810F8"/>
    <w:rsid w:val="00D85CF6"/>
    <w:rsid w:val="00D9043F"/>
    <w:rsid w:val="00D90810"/>
    <w:rsid w:val="00D90BEB"/>
    <w:rsid w:val="00D90E7A"/>
    <w:rsid w:val="00D91AD7"/>
    <w:rsid w:val="00D92106"/>
    <w:rsid w:val="00D9300B"/>
    <w:rsid w:val="00D94C0A"/>
    <w:rsid w:val="00D951D6"/>
    <w:rsid w:val="00D96FA5"/>
    <w:rsid w:val="00D97469"/>
    <w:rsid w:val="00D97A1B"/>
    <w:rsid w:val="00DA1CDB"/>
    <w:rsid w:val="00DA20B3"/>
    <w:rsid w:val="00DA2A6B"/>
    <w:rsid w:val="00DA3328"/>
    <w:rsid w:val="00DA5506"/>
    <w:rsid w:val="00DA6B61"/>
    <w:rsid w:val="00DB6D60"/>
    <w:rsid w:val="00DD4476"/>
    <w:rsid w:val="00DD7318"/>
    <w:rsid w:val="00DE160E"/>
    <w:rsid w:val="00DE276E"/>
    <w:rsid w:val="00DF0DA0"/>
    <w:rsid w:val="00DF33E3"/>
    <w:rsid w:val="00DF4CFB"/>
    <w:rsid w:val="00E00548"/>
    <w:rsid w:val="00E01F92"/>
    <w:rsid w:val="00E043D7"/>
    <w:rsid w:val="00E0650F"/>
    <w:rsid w:val="00E10843"/>
    <w:rsid w:val="00E12D1F"/>
    <w:rsid w:val="00E17DBC"/>
    <w:rsid w:val="00E221B2"/>
    <w:rsid w:val="00E22FDC"/>
    <w:rsid w:val="00E23C73"/>
    <w:rsid w:val="00E25833"/>
    <w:rsid w:val="00E25E69"/>
    <w:rsid w:val="00E27280"/>
    <w:rsid w:val="00E301B0"/>
    <w:rsid w:val="00E41D69"/>
    <w:rsid w:val="00E533C1"/>
    <w:rsid w:val="00E55B1A"/>
    <w:rsid w:val="00E574F8"/>
    <w:rsid w:val="00E579F8"/>
    <w:rsid w:val="00E623C0"/>
    <w:rsid w:val="00E633C2"/>
    <w:rsid w:val="00E638D2"/>
    <w:rsid w:val="00E66DF4"/>
    <w:rsid w:val="00E67E92"/>
    <w:rsid w:val="00E70675"/>
    <w:rsid w:val="00E715C1"/>
    <w:rsid w:val="00E75E17"/>
    <w:rsid w:val="00E77871"/>
    <w:rsid w:val="00E807BA"/>
    <w:rsid w:val="00E81B0E"/>
    <w:rsid w:val="00E82512"/>
    <w:rsid w:val="00E85C7D"/>
    <w:rsid w:val="00E92FAB"/>
    <w:rsid w:val="00E93A39"/>
    <w:rsid w:val="00E95266"/>
    <w:rsid w:val="00EA1D97"/>
    <w:rsid w:val="00EA231C"/>
    <w:rsid w:val="00EA3CA4"/>
    <w:rsid w:val="00EA58B3"/>
    <w:rsid w:val="00EA6DD2"/>
    <w:rsid w:val="00EA761D"/>
    <w:rsid w:val="00EB1733"/>
    <w:rsid w:val="00EB4F04"/>
    <w:rsid w:val="00EB5162"/>
    <w:rsid w:val="00EB5E8A"/>
    <w:rsid w:val="00EB7DA1"/>
    <w:rsid w:val="00EC32E9"/>
    <w:rsid w:val="00EC3D68"/>
    <w:rsid w:val="00ED20D3"/>
    <w:rsid w:val="00ED582A"/>
    <w:rsid w:val="00ED6D35"/>
    <w:rsid w:val="00EE1A42"/>
    <w:rsid w:val="00EE24D2"/>
    <w:rsid w:val="00EF26AE"/>
    <w:rsid w:val="00EF4B55"/>
    <w:rsid w:val="00EF6352"/>
    <w:rsid w:val="00EF6C16"/>
    <w:rsid w:val="00F0242C"/>
    <w:rsid w:val="00F07ACD"/>
    <w:rsid w:val="00F14439"/>
    <w:rsid w:val="00F15432"/>
    <w:rsid w:val="00F20145"/>
    <w:rsid w:val="00F31611"/>
    <w:rsid w:val="00F3212E"/>
    <w:rsid w:val="00F337DF"/>
    <w:rsid w:val="00F34BBC"/>
    <w:rsid w:val="00F421C3"/>
    <w:rsid w:val="00F44507"/>
    <w:rsid w:val="00F4507C"/>
    <w:rsid w:val="00F471C4"/>
    <w:rsid w:val="00F47744"/>
    <w:rsid w:val="00F54CFF"/>
    <w:rsid w:val="00F576B6"/>
    <w:rsid w:val="00F61B16"/>
    <w:rsid w:val="00F63023"/>
    <w:rsid w:val="00F659C1"/>
    <w:rsid w:val="00F673A6"/>
    <w:rsid w:val="00F73C07"/>
    <w:rsid w:val="00F7448F"/>
    <w:rsid w:val="00F76F37"/>
    <w:rsid w:val="00F802E6"/>
    <w:rsid w:val="00F80D25"/>
    <w:rsid w:val="00F8162E"/>
    <w:rsid w:val="00F86CE3"/>
    <w:rsid w:val="00F870D8"/>
    <w:rsid w:val="00F91F15"/>
    <w:rsid w:val="00FA4AB1"/>
    <w:rsid w:val="00FA5F3E"/>
    <w:rsid w:val="00FB5264"/>
    <w:rsid w:val="00FB6AEA"/>
    <w:rsid w:val="00FB794A"/>
    <w:rsid w:val="00FC02A2"/>
    <w:rsid w:val="00FC09A0"/>
    <w:rsid w:val="00FC2213"/>
    <w:rsid w:val="00FE034D"/>
    <w:rsid w:val="00FE34A5"/>
    <w:rsid w:val="00FE72C8"/>
    <w:rsid w:val="00FF5CA5"/>
    <w:rsid w:val="00FF667C"/>
    <w:rsid w:val="00FF74C7"/>
    <w:rsid w:val="07E45F65"/>
    <w:rsid w:val="14BF4949"/>
    <w:rsid w:val="1DBBD525"/>
    <w:rsid w:val="23D13985"/>
    <w:rsid w:val="25CFF332"/>
    <w:rsid w:val="2EDF422A"/>
    <w:rsid w:val="2EFE24EF"/>
    <w:rsid w:val="377CFD33"/>
    <w:rsid w:val="3BFF7F97"/>
    <w:rsid w:val="3D77913D"/>
    <w:rsid w:val="3DE77582"/>
    <w:rsid w:val="3F0A50AD"/>
    <w:rsid w:val="3FFF2721"/>
    <w:rsid w:val="4539CA8A"/>
    <w:rsid w:val="460B0CAA"/>
    <w:rsid w:val="4BEF1ABB"/>
    <w:rsid w:val="4DFA0412"/>
    <w:rsid w:val="537BD51F"/>
    <w:rsid w:val="53F3F3F9"/>
    <w:rsid w:val="57F76134"/>
    <w:rsid w:val="5B3F5E25"/>
    <w:rsid w:val="5CBF0CB5"/>
    <w:rsid w:val="5DB76D5B"/>
    <w:rsid w:val="5FCE0DDE"/>
    <w:rsid w:val="5FDF599B"/>
    <w:rsid w:val="633ADAE1"/>
    <w:rsid w:val="6EB7A550"/>
    <w:rsid w:val="6FF5FD63"/>
    <w:rsid w:val="6FFD6BED"/>
    <w:rsid w:val="74DFB8AB"/>
    <w:rsid w:val="7761723F"/>
    <w:rsid w:val="77FF7267"/>
    <w:rsid w:val="7A76BCEF"/>
    <w:rsid w:val="7DEB782C"/>
    <w:rsid w:val="7F6C1888"/>
    <w:rsid w:val="7FCFEB83"/>
    <w:rsid w:val="7FF7310B"/>
    <w:rsid w:val="7FFB57D2"/>
    <w:rsid w:val="8DD2FE6A"/>
    <w:rsid w:val="9F7F21A7"/>
    <w:rsid w:val="A3450443"/>
    <w:rsid w:val="AB571B2B"/>
    <w:rsid w:val="B54B73DE"/>
    <w:rsid w:val="B6FB95FB"/>
    <w:rsid w:val="BB9B9DF8"/>
    <w:rsid w:val="C7AF0667"/>
    <w:rsid w:val="CFBF023E"/>
    <w:rsid w:val="D9DF4471"/>
    <w:rsid w:val="DA6B4F64"/>
    <w:rsid w:val="DB17AE8B"/>
    <w:rsid w:val="DFFB560A"/>
    <w:rsid w:val="EFD5BC89"/>
    <w:rsid w:val="EFEF33A4"/>
    <w:rsid w:val="EFF79C22"/>
    <w:rsid w:val="F2CF3574"/>
    <w:rsid w:val="F3FFC2F8"/>
    <w:rsid w:val="F6769E4B"/>
    <w:rsid w:val="F777F986"/>
    <w:rsid w:val="F7FF6E3F"/>
    <w:rsid w:val="FB4D9753"/>
    <w:rsid w:val="FBCFEEAB"/>
    <w:rsid w:val="FBFFBA4E"/>
    <w:rsid w:val="FD5FEB88"/>
    <w:rsid w:val="FD7FB747"/>
    <w:rsid w:val="FDD6A859"/>
    <w:rsid w:val="FDDFE65E"/>
    <w:rsid w:val="FEA9344C"/>
    <w:rsid w:val="FF5F4A22"/>
    <w:rsid w:val="FFB5260B"/>
    <w:rsid w:val="FFEDFA0B"/>
    <w:rsid w:val="FFF57439"/>
    <w:rsid w:val="FFFF6AC4"/>
    <w:rsid w:val="FFFFC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7">
    <w:name w:val="Normal (Web)"/>
    <w:basedOn w:val="1"/>
    <w:qFormat/>
    <w:uiPriority w:val="0"/>
    <w:pPr>
      <w:widowControl/>
      <w:spacing w:before="100" w:beforeAutospacing="1" w:after="100" w:afterAutospacing="1" w:line="360" w:lineRule="atLeast"/>
      <w:jc w:val="left"/>
    </w:pPr>
    <w:rPr>
      <w:rFonts w:ascii="宋体" w:hAnsi="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rFonts w:ascii="Verdana" w:hAnsi="Verdana" w:eastAsia="仿宋_GB2312"/>
      <w:b/>
      <w:bCs/>
      <w:kern w:val="0"/>
      <w:sz w:val="24"/>
      <w:szCs w:val="20"/>
      <w:lang w:eastAsia="en-U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框文本 字符"/>
    <w:basedOn w:val="10"/>
    <w:link w:val="3"/>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副标题 字符"/>
    <w:basedOn w:val="10"/>
    <w:link w:val="6"/>
    <w:qFormat/>
    <w:uiPriority w:val="11"/>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681</Words>
  <Characters>3887</Characters>
  <Lines>32</Lines>
  <Paragraphs>9</Paragraphs>
  <TotalTime>14</TotalTime>
  <ScaleCrop>false</ScaleCrop>
  <LinksUpToDate>false</LinksUpToDate>
  <CharactersWithSpaces>4559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2020-08-12T19:42:00Z</dcterms:created>
  <dc:creator>kylin</dc:creator>
  <cp:lastModifiedBy>Administrator</cp:lastModifiedBy>
  <cp:lastPrinted>2023-11-08T06:32:00Z</cp:lastPrinted>
  <dcterms:modified xsi:type="dcterms:W3CDTF">2023-12-07T07:17:54Z</dcterms:modified>
  <dc:title>天津市人民政府推进政府职能转变和“放管服”改革协调小组办公室文件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9C8D0E4C7EF04F808C82473D68951278</vt:lpwstr>
  </property>
</Properties>
</file>