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outlineLvl w:val="0"/>
        <w:rPr>
          <w:rFonts w:ascii="国标黑体" w:hAnsi="国标黑体" w:eastAsia="国标黑体" w:cs="国标黑体"/>
          <w:color w:val="000000"/>
          <w:kern w:val="0"/>
          <w:sz w:val="32"/>
          <w:szCs w:val="32"/>
        </w:rPr>
      </w:pPr>
      <w:r>
        <w:rPr>
          <w:rFonts w:hint="eastAsia" w:ascii="国标黑体" w:hAnsi="国标黑体" w:eastAsia="国标黑体" w:cs="国标黑体"/>
          <w:color w:val="000000"/>
          <w:kern w:val="0"/>
          <w:sz w:val="32"/>
          <w:szCs w:val="32"/>
        </w:rPr>
        <w:t>附件6</w:t>
      </w:r>
    </w:p>
    <w:p>
      <w:pPr>
        <w:spacing w:after="156" w:afterLines="50" w:line="600" w:lineRule="exact"/>
        <w:jc w:val="center"/>
        <w:outlineLvl w:val="0"/>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声明书</w:t>
      </w:r>
    </w:p>
    <w:bookmarkEnd w:id="0"/>
    <w:p>
      <w:pPr>
        <w:spacing w:line="36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山西省财政厅/山西省注册会计师协会：</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根据山西省财政厅《关于开展</w:t>
      </w:r>
      <w:r>
        <w:rPr>
          <w:rFonts w:ascii="仿宋" w:hAnsi="仿宋" w:eastAsia="仿宋" w:cs="宋体"/>
          <w:color w:val="000000"/>
          <w:kern w:val="0"/>
          <w:sz w:val="28"/>
          <w:szCs w:val="28"/>
        </w:rPr>
        <w:t>20</w:t>
      </w:r>
      <w:r>
        <w:rPr>
          <w:rFonts w:hint="eastAsia" w:ascii="仿宋" w:hAnsi="仿宋" w:eastAsia="仿宋" w:cs="宋体"/>
          <w:color w:val="000000"/>
          <w:kern w:val="0"/>
          <w:sz w:val="28"/>
          <w:szCs w:val="28"/>
        </w:rPr>
        <w:t>24年度会计师事务所和资产评估机构监督检查工作的通知》（晋财会〔</w:t>
      </w:r>
      <w:r>
        <w:rPr>
          <w:rFonts w:ascii="仿宋" w:hAnsi="仿宋" w:eastAsia="仿宋" w:cs="宋体"/>
          <w:color w:val="000000"/>
          <w:kern w:val="0"/>
          <w:sz w:val="28"/>
          <w:szCs w:val="28"/>
        </w:rPr>
        <w:t>20</w:t>
      </w:r>
      <w:r>
        <w:rPr>
          <w:rFonts w:hint="eastAsia" w:ascii="仿宋" w:hAnsi="仿宋" w:eastAsia="仿宋" w:cs="宋体"/>
          <w:color w:val="000000"/>
          <w:kern w:val="0"/>
          <w:sz w:val="28"/>
          <w:szCs w:val="28"/>
        </w:rPr>
        <w:t>24〕</w:t>
      </w:r>
      <w:r>
        <w:rPr>
          <w:rFonts w:hint="eastAsia" w:ascii="仿宋" w:hAnsi="仿宋" w:eastAsia="仿宋" w:cs="宋体"/>
          <w:color w:val="000000"/>
          <w:kern w:val="0"/>
          <w:sz w:val="28"/>
          <w:szCs w:val="28"/>
          <w:lang w:val="en-US" w:eastAsia="zh-CN"/>
        </w:rPr>
        <w:t>19</w:t>
      </w:r>
      <w:r>
        <w:rPr>
          <w:rFonts w:hint="eastAsia" w:ascii="仿宋" w:hAnsi="仿宋" w:eastAsia="仿宋" w:cs="宋体"/>
          <w:color w:val="000000"/>
          <w:kern w:val="0"/>
          <w:sz w:val="28"/>
          <w:szCs w:val="28"/>
        </w:rPr>
        <w:t>号）和《山西省注册会计师协会关于开展2024年度会计师事务所执业质量检查工作的通知》（晋会协〔2024〕</w:t>
      </w:r>
      <w:r>
        <w:rPr>
          <w:rFonts w:hint="eastAsia" w:ascii="仿宋" w:hAnsi="仿宋" w:eastAsia="仿宋" w:cs="宋体"/>
          <w:color w:val="000000"/>
          <w:kern w:val="0"/>
          <w:sz w:val="28"/>
          <w:szCs w:val="28"/>
          <w:lang w:val="en-US" w:eastAsia="zh-CN"/>
        </w:rPr>
        <w:t>56</w:t>
      </w:r>
      <w:r>
        <w:rPr>
          <w:rFonts w:hint="eastAsia" w:ascii="仿宋" w:hAnsi="仿宋" w:eastAsia="仿宋" w:cs="宋体"/>
          <w:color w:val="000000"/>
          <w:kern w:val="0"/>
          <w:sz w:val="28"/>
          <w:szCs w:val="28"/>
        </w:rPr>
        <w:t>号）要求，我们已向检查组提供了检查工作所需的全部检查资料，包括事务所的内部管理制度、职业道德规范、质量管理制度、开票明细清单、各类业务清单、抽查的业务报告与工作底稿以及与事务所的内部治理、事务所文化、领导理念等有关的资料和信息等。我所不存在由其他单位代开发票的情况，工作底稿中的业务报告和对外提供的报告是一致的，审计业务工作底稿中的审计后财务报表与对外提供的审计报告所附财务报表是一致的。我们对上述资料和信息的真实性与完整性负责。</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我们已知悉相关的检查廉政规定，并将切实遵守廉政规定的各项要求，尊重检查组廉洁自律的意愿和行动。</w:t>
      </w:r>
    </w:p>
    <w:p>
      <w:pPr>
        <w:spacing w:line="540" w:lineRule="exact"/>
        <w:ind w:firstLine="640"/>
        <w:rPr>
          <w:rFonts w:ascii="仿宋" w:hAnsi="仿宋" w:eastAsia="仿宋" w:cs="宋体"/>
          <w:color w:val="000000"/>
          <w:kern w:val="0"/>
          <w:sz w:val="28"/>
          <w:szCs w:val="28"/>
        </w:rPr>
      </w:pPr>
      <w:r>
        <w:rPr>
          <w:rFonts w:hint="eastAsia" w:ascii="仿宋" w:hAnsi="仿宋" w:eastAsia="仿宋" w:cs="宋体"/>
          <w:color w:val="000000"/>
          <w:kern w:val="0"/>
          <w:sz w:val="28"/>
          <w:szCs w:val="28"/>
        </w:rPr>
        <w:t>特此声明。</w:t>
      </w:r>
    </w:p>
    <w:p>
      <w:pPr>
        <w:spacing w:line="540" w:lineRule="exact"/>
        <w:ind w:firstLine="640"/>
        <w:rPr>
          <w:rFonts w:ascii="仿宋" w:hAnsi="仿宋" w:eastAsia="仿宋" w:cs="宋体"/>
          <w:color w:val="000000"/>
          <w:kern w:val="0"/>
          <w:sz w:val="28"/>
          <w:szCs w:val="28"/>
        </w:rPr>
      </w:pPr>
    </w:p>
    <w:p>
      <w:pPr>
        <w:spacing w:line="540" w:lineRule="exact"/>
        <w:ind w:right="418" w:firstLine="64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主任会计师/执行（首席）合伙人（签字）</w:t>
      </w:r>
    </w:p>
    <w:p>
      <w:pPr>
        <w:spacing w:line="540" w:lineRule="exact"/>
        <w:ind w:firstLine="64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会计师事务所（公章）</w:t>
      </w:r>
    </w:p>
    <w:p>
      <w:pPr>
        <w:spacing w:line="540" w:lineRule="exact"/>
        <w:ind w:firstLine="640"/>
        <w:rPr>
          <w:rFonts w:ascii="仿宋" w:hAnsi="仿宋" w:eastAsia="仿宋" w:cs="宋体"/>
          <w:color w:val="000000"/>
          <w:kern w:val="0"/>
          <w:sz w:val="28"/>
          <w:szCs w:val="28"/>
        </w:rPr>
      </w:pPr>
    </w:p>
    <w:p>
      <w:pPr>
        <w:spacing w:line="540" w:lineRule="exact"/>
        <w:ind w:firstLine="64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2024年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国标黑体">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YWFkYjNhZGE2NWQzNTVkNjg2Y2UzNjcxMDc3ZmUifQ=="/>
  </w:docVars>
  <w:rsids>
    <w:rsidRoot w:val="7ABA066A"/>
    <w:rsid w:val="7ABA0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rPr>
      <w:rFonts w:ascii="Times New Roman" w:hAnsi="Times New Roman" w:eastAsia="宋体" w:cs="Times New Roman"/>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2024-07-04T08:33:00Z</dcterms:created>
  <dc:creator>杨建丽</dc:creator>
  <cp:lastModifiedBy>杨建丽</cp:lastModifiedBy>
  <dcterms:modified xsi:type="dcterms:W3CDTF">2024-07-04T08:33:58Z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4CB149DBD0D54170B3E726706A5CF57B_11</vt:lpwstr>
  </property>
</Properties>
</file>