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仿宋" w:cs="Times New Roman"/>
          <w:sz w:val="28"/>
          <w:szCs w:val="30"/>
        </w:rPr>
      </w:pPr>
    </w:p>
    <w:p>
      <w:pPr>
        <w:tabs>
          <w:tab w:val="left" w:pos="1820"/>
        </w:tabs>
        <w:spacing w:line="600" w:lineRule="exact"/>
        <w:jc w:val="center"/>
        <w:textAlignment w:val="baseline"/>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全国中小企业股份转让系统重大资产重组</w:t>
      </w:r>
    </w:p>
    <w:p>
      <w:pPr>
        <w:tabs>
          <w:tab w:val="left" w:pos="1820"/>
        </w:tabs>
        <w:spacing w:line="600" w:lineRule="exact"/>
        <w:jc w:val="center"/>
        <w:textAlignment w:val="baseline"/>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业务指南第2号</w:t>
      </w:r>
      <w:r>
        <w:rPr>
          <w:rFonts w:hint="eastAsia" w:ascii="Times New Roman" w:hAnsi="Times New Roman" w:eastAsia="方正大标宋简体" w:cs="Times New Roman"/>
          <w:sz w:val="44"/>
          <w:szCs w:val="44"/>
          <w:lang w:eastAsia="zh-CN"/>
        </w:rPr>
        <w:t>——</w:t>
      </w:r>
      <w:r>
        <w:rPr>
          <w:rFonts w:hint="eastAsia" w:ascii="Times New Roman" w:hAnsi="Times New Roman" w:eastAsia="方正大标宋简体" w:cs="Times New Roman"/>
          <w:sz w:val="44"/>
          <w:szCs w:val="44"/>
        </w:rPr>
        <w:t>非上市公众公司</w:t>
      </w:r>
      <w:r>
        <w:rPr>
          <w:rFonts w:ascii="Times New Roman" w:hAnsi="Times New Roman" w:eastAsia="方正大标宋简体" w:cs="Times New Roman"/>
          <w:sz w:val="44"/>
          <w:szCs w:val="44"/>
        </w:rPr>
        <w:t>发行</w:t>
      </w:r>
    </w:p>
    <w:p>
      <w:pPr>
        <w:tabs>
          <w:tab w:val="left" w:pos="1820"/>
        </w:tabs>
        <w:spacing w:line="600" w:lineRule="exact"/>
        <w:jc w:val="center"/>
        <w:textAlignment w:val="baseline"/>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股份购买资产构成重大资产重组</w:t>
      </w:r>
    </w:p>
    <w:p>
      <w:pPr>
        <w:tabs>
          <w:tab w:val="left" w:pos="1820"/>
        </w:tabs>
        <w:spacing w:line="600" w:lineRule="exact"/>
        <w:jc w:val="center"/>
        <w:textAlignment w:val="baseline"/>
      </w:pPr>
      <w:r>
        <w:rPr>
          <w:rFonts w:ascii="Times New Roman" w:hAnsi="Times New Roman" w:eastAsia="方正大标宋简体" w:cs="Times New Roman"/>
          <w:sz w:val="44"/>
          <w:szCs w:val="44"/>
        </w:rPr>
        <w:t>文件报送指南</w:t>
      </w:r>
    </w:p>
    <w:p>
      <w:pPr>
        <w:tabs>
          <w:tab w:val="left" w:pos="1820"/>
        </w:tabs>
        <w:spacing w:line="600" w:lineRule="exact"/>
        <w:jc w:val="center"/>
        <w:textAlignment w:val="baseline"/>
      </w:pPr>
    </w:p>
    <w:p>
      <w:pPr>
        <w:spacing w:line="6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（2014年7月25日发布，2020年5月22日第一次修订，2020年10月23日第二次修订，2021年11月12日第三次修订，2023年2月17日第四次修订）</w:t>
      </w:r>
    </w:p>
    <w:p>
      <w:pPr>
        <w:tabs>
          <w:tab w:val="left" w:pos="1820"/>
        </w:tabs>
        <w:spacing w:line="600" w:lineRule="exact"/>
        <w:textAlignment w:val="baseline"/>
        <w:rPr>
          <w:rFonts w:ascii="Times New Roman" w:hAnsi="Times New Roman" w:cs="Times New Roman"/>
          <w:b/>
          <w:sz w:val="32"/>
          <w:szCs w:val="36"/>
        </w:rPr>
      </w:pPr>
    </w:p>
    <w:p>
      <w:pPr>
        <w:tabs>
          <w:tab w:val="left" w:pos="1820"/>
        </w:tabs>
        <w:spacing w:line="600" w:lineRule="exact"/>
        <w:ind w:firstLine="640" w:firstLineChars="200"/>
        <w:textAlignment w:val="baseline"/>
        <w:rPr>
          <w:rFonts w:ascii="Times New Roman" w:hAnsi="Times New Roman" w:eastAsia="仿宋" w:cs="Times New Roman"/>
          <w:b/>
          <w:kern w:val="0"/>
          <w:sz w:val="32"/>
          <w:szCs w:val="32"/>
        </w:rPr>
      </w:pPr>
      <w:r>
        <w:rPr>
          <w:rFonts w:ascii="Times New Roman" w:hAnsi="Times New Roman" w:eastAsia="仿宋" w:cs="Times New Roman"/>
          <w:kern w:val="0"/>
          <w:sz w:val="32"/>
          <w:szCs w:val="32"/>
        </w:rPr>
        <w:t>为规范全国中小企业股份转让系统</w:t>
      </w:r>
      <w:r>
        <w:rPr>
          <w:rFonts w:hint="eastAsia" w:ascii="Times New Roman" w:hAnsi="Times New Roman" w:eastAsia="仿宋" w:cs="Times New Roman"/>
          <w:kern w:val="0"/>
          <w:sz w:val="32"/>
          <w:szCs w:val="32"/>
        </w:rPr>
        <w:t>非上市公众公司</w:t>
      </w:r>
      <w:r>
        <w:rPr>
          <w:rFonts w:ascii="Times New Roman" w:hAnsi="Times New Roman" w:eastAsia="仿宋" w:cs="Times New Roman"/>
          <w:kern w:val="0"/>
          <w:sz w:val="32"/>
          <w:szCs w:val="32"/>
        </w:rPr>
        <w:t>（以下简称公司）发行股份购买资产构成重大资产重组的</w:t>
      </w:r>
      <w:r>
        <w:rPr>
          <w:rFonts w:hint="eastAsia" w:ascii="Times New Roman" w:hAnsi="Times New Roman" w:eastAsia="仿宋" w:cs="Times New Roman"/>
          <w:kern w:val="0"/>
          <w:sz w:val="32"/>
          <w:szCs w:val="32"/>
        </w:rPr>
        <w:t>申请</w:t>
      </w:r>
      <w:r>
        <w:rPr>
          <w:rFonts w:ascii="Times New Roman" w:hAnsi="Times New Roman" w:eastAsia="仿宋" w:cs="Times New Roman"/>
          <w:kern w:val="0"/>
          <w:sz w:val="32"/>
          <w:szCs w:val="32"/>
        </w:rPr>
        <w:t>文件报送，根据《全国中小企业股份转让系统</w:t>
      </w:r>
      <w:r>
        <w:rPr>
          <w:rFonts w:hint="eastAsia" w:ascii="Times New Roman" w:hAnsi="Times New Roman" w:eastAsia="仿宋" w:cs="Times New Roman"/>
          <w:kern w:val="0"/>
          <w:sz w:val="32"/>
          <w:szCs w:val="32"/>
        </w:rPr>
        <w:t>非上市公众公司</w:t>
      </w:r>
      <w:r>
        <w:rPr>
          <w:rFonts w:ascii="Times New Roman" w:hAnsi="Times New Roman" w:eastAsia="仿宋" w:cs="Times New Roman"/>
          <w:kern w:val="0"/>
          <w:sz w:val="32"/>
          <w:szCs w:val="32"/>
        </w:rPr>
        <w:t>重大资产重组业务细则》</w:t>
      </w:r>
      <w:r>
        <w:rPr>
          <w:rFonts w:hint="eastAsia" w:ascii="Times New Roman" w:hAnsi="Times New Roman" w:eastAsia="仿宋" w:cs="Times New Roman"/>
          <w:kern w:val="0"/>
          <w:sz w:val="32"/>
          <w:szCs w:val="32"/>
        </w:rPr>
        <w:t>（以下简称《重组业务细则》）</w:t>
      </w:r>
      <w:r>
        <w:rPr>
          <w:rFonts w:ascii="Times New Roman" w:hAnsi="Times New Roman" w:eastAsia="仿宋" w:cs="Times New Roman"/>
          <w:kern w:val="0"/>
          <w:sz w:val="32"/>
          <w:szCs w:val="32"/>
        </w:rPr>
        <w:t>等规定，制定本指南。</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黑体" w:cs="Times New Roman"/>
          <w:kern w:val="0"/>
          <w:sz w:val="32"/>
          <w:szCs w:val="32"/>
        </w:rPr>
        <w:t>1.</w:t>
      </w:r>
      <w:r>
        <w:rPr>
          <w:rFonts w:ascii="Times New Roman" w:hAnsi="Times New Roman" w:eastAsia="仿宋" w:cs="Times New Roman"/>
          <w:kern w:val="0"/>
          <w:sz w:val="32"/>
          <w:szCs w:val="32"/>
        </w:rPr>
        <w:t>发行股份购买资产构成重大资产重组</w:t>
      </w:r>
      <w:r>
        <w:rPr>
          <w:rFonts w:hint="eastAsia" w:ascii="Times New Roman" w:hAnsi="Times New Roman" w:eastAsia="仿宋" w:cs="Times New Roman"/>
          <w:kern w:val="0"/>
          <w:sz w:val="32"/>
          <w:szCs w:val="32"/>
        </w:rPr>
        <w:t>的，公司应在股东大会决议后10个交易日内，委托独立财务顾问向全国中小企业股份转让系统有限责任公司（以下简称全国股转公司）报送审核申请文件（附件1、2）。</w:t>
      </w:r>
    </w:p>
    <w:p>
      <w:pPr>
        <w:tabs>
          <w:tab w:val="left" w:pos="1820"/>
        </w:tabs>
        <w:spacing w:line="600" w:lineRule="exact"/>
        <w:ind w:firstLine="640" w:firstLineChars="200"/>
        <w:textAlignment w:val="baseline"/>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2.</w:t>
      </w:r>
      <w:r>
        <w:rPr>
          <w:rFonts w:hint="eastAsia" w:ascii="Times New Roman" w:hAnsi="Times New Roman" w:eastAsia="仿宋" w:cs="Times New Roman"/>
          <w:kern w:val="0"/>
          <w:sz w:val="32"/>
          <w:szCs w:val="32"/>
        </w:rPr>
        <w:t>公司</w:t>
      </w:r>
      <w:r>
        <w:rPr>
          <w:rFonts w:ascii="Times New Roman" w:hAnsi="Times New Roman" w:eastAsia="仿宋" w:cs="Times New Roman"/>
          <w:kern w:val="0"/>
          <w:sz w:val="32"/>
          <w:szCs w:val="32"/>
        </w:rPr>
        <w:t>发行股份购买资产构成重大资产重组且发行后股东人数</w:t>
      </w:r>
      <w:r>
        <w:rPr>
          <w:rFonts w:hint="eastAsia" w:ascii="Times New Roman" w:hAnsi="Times New Roman" w:eastAsia="仿宋" w:cs="Times New Roman"/>
          <w:kern w:val="0"/>
          <w:sz w:val="32"/>
          <w:szCs w:val="32"/>
        </w:rPr>
        <w:t>累计</w:t>
      </w:r>
      <w:r>
        <w:rPr>
          <w:rFonts w:ascii="Times New Roman" w:hAnsi="Times New Roman" w:eastAsia="仿宋" w:cs="Times New Roman"/>
          <w:kern w:val="0"/>
          <w:sz w:val="32"/>
          <w:szCs w:val="32"/>
        </w:rPr>
        <w:t>超过200人的</w:t>
      </w:r>
      <w:r>
        <w:rPr>
          <w:rFonts w:hint="eastAsia" w:ascii="Times New Roman" w:hAnsi="Times New Roman" w:eastAsia="仿宋" w:cs="Times New Roman"/>
          <w:kern w:val="0"/>
          <w:sz w:val="32"/>
          <w:szCs w:val="32"/>
        </w:rPr>
        <w:t>，全国股转公司审核通过后，向中国证监会报送同意发行股份购买资产的审核意见、相关审核资料及公司申请文件。</w:t>
      </w:r>
    </w:p>
    <w:p>
      <w:pPr>
        <w:tabs>
          <w:tab w:val="left" w:pos="1820"/>
        </w:tabs>
        <w:spacing w:line="600" w:lineRule="exact"/>
        <w:ind w:firstLine="640" w:firstLineChars="200"/>
        <w:textAlignment w:val="baseline"/>
        <w:rPr>
          <w:rFonts w:ascii="Times New Roman" w:hAnsi="Times New Roman" w:eastAsia="仿宋"/>
          <w:sz w:val="32"/>
          <w:szCs w:val="30"/>
        </w:rPr>
      </w:pPr>
      <w:r>
        <w:rPr>
          <w:rFonts w:hint="eastAsia" w:ascii="Times New Roman" w:hAnsi="Times New Roman" w:eastAsia="黑体" w:cs="Times New Roman"/>
          <w:kern w:val="0"/>
          <w:sz w:val="32"/>
          <w:szCs w:val="32"/>
        </w:rPr>
        <w:t>3.</w:t>
      </w:r>
      <w:r>
        <w:rPr>
          <w:rFonts w:hint="eastAsia" w:ascii="Times New Roman" w:hAnsi="Times New Roman" w:eastAsia="仿宋"/>
          <w:sz w:val="32"/>
          <w:szCs w:val="30"/>
        </w:rPr>
        <w:t>公司取得全国股转公司出具的同意发行股份购买资产的函或收到中国证监会作出的同意注册的决定后，应当及时实施重大资产重组，在验资完成后20个交易日内，向全国股转公司报送股票登记申请文件（附件3</w:t>
      </w:r>
      <w:r>
        <w:rPr>
          <w:rFonts w:hint="eastAsia" w:ascii="Times New Roman" w:hAnsi="Times New Roman" w:eastAsia="仿宋"/>
          <w:sz w:val="32"/>
          <w:szCs w:val="30"/>
          <w:lang w:eastAsia="zh-CN"/>
        </w:rPr>
        <w:t>—附件</w:t>
      </w:r>
      <w:bookmarkStart w:id="0" w:name="_GoBack"/>
      <w:bookmarkEnd w:id="0"/>
      <w:r>
        <w:rPr>
          <w:rFonts w:hint="eastAsia" w:ascii="Times New Roman" w:hAnsi="Times New Roman" w:eastAsia="仿宋"/>
          <w:sz w:val="32"/>
          <w:szCs w:val="30"/>
        </w:rPr>
        <w:t>6）。</w:t>
      </w:r>
    </w:p>
    <w:p>
      <w:pPr>
        <w:tabs>
          <w:tab w:val="left" w:pos="1820"/>
        </w:tabs>
        <w:spacing w:line="600" w:lineRule="exact"/>
        <w:ind w:firstLine="640" w:firstLineChars="200"/>
        <w:textAlignment w:val="baseline"/>
        <w:rPr>
          <w:rFonts w:ascii="Times New Roman" w:hAnsi="Times New Roman" w:eastAsia="仿宋"/>
          <w:sz w:val="32"/>
          <w:szCs w:val="30"/>
        </w:rPr>
      </w:pPr>
      <w:r>
        <w:rPr>
          <w:rFonts w:hint="eastAsia" w:ascii="Times New Roman" w:hAnsi="Times New Roman" w:eastAsia="黑体" w:cs="Times New Roman"/>
          <w:kern w:val="0"/>
          <w:sz w:val="32"/>
          <w:szCs w:val="32"/>
        </w:rPr>
        <w:t>4.</w:t>
      </w:r>
      <w:r>
        <w:rPr>
          <w:rFonts w:hint="eastAsia" w:ascii="Times New Roman" w:hAnsi="Times New Roman" w:eastAsia="仿宋"/>
          <w:sz w:val="32"/>
          <w:szCs w:val="30"/>
        </w:rPr>
        <w:t>公司出现</w:t>
      </w:r>
      <w:r>
        <w:rPr>
          <w:rFonts w:hint="eastAsia" w:ascii="Times New Roman" w:hAnsi="Times New Roman" w:eastAsia="仿宋" w:cs="Times New Roman"/>
          <w:kern w:val="0"/>
          <w:sz w:val="32"/>
          <w:szCs w:val="32"/>
        </w:rPr>
        <w:t>《重组业务细则》第三十二条第（二）项的终止审核情形时，应向全国股转公司提交终止审核的相关文件（附件7）。</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黑体" w:cs="Times New Roman"/>
          <w:kern w:val="0"/>
          <w:sz w:val="32"/>
          <w:szCs w:val="32"/>
        </w:rPr>
        <w:t>5.</w:t>
      </w:r>
      <w:r>
        <w:rPr>
          <w:rFonts w:ascii="Times New Roman" w:hAnsi="Times New Roman" w:eastAsia="仿宋" w:cs="Times New Roman"/>
          <w:kern w:val="0"/>
          <w:sz w:val="32"/>
          <w:szCs w:val="32"/>
        </w:rPr>
        <w:t>公司</w:t>
      </w:r>
      <w:r>
        <w:rPr>
          <w:rFonts w:hint="eastAsia" w:ascii="Times New Roman" w:hAnsi="Times New Roman" w:eastAsia="仿宋" w:cs="Times New Roman"/>
          <w:kern w:val="0"/>
          <w:sz w:val="32"/>
          <w:szCs w:val="32"/>
        </w:rPr>
        <w:t>应当按照本指南的要求，</w:t>
      </w:r>
      <w:r>
        <w:rPr>
          <w:rFonts w:ascii="Times New Roman" w:hAnsi="Times New Roman" w:eastAsia="仿宋" w:cs="Times New Roman"/>
          <w:kern w:val="0"/>
          <w:sz w:val="32"/>
          <w:szCs w:val="32"/>
        </w:rPr>
        <w:t>通过</w:t>
      </w:r>
      <w:r>
        <w:rPr>
          <w:rFonts w:hint="eastAsia" w:ascii="Times New Roman" w:hAnsi="Times New Roman" w:eastAsia="仿宋" w:cs="Times New Roman"/>
          <w:kern w:val="0"/>
          <w:sz w:val="32"/>
          <w:szCs w:val="32"/>
        </w:rPr>
        <w:t>重组业务系统</w:t>
      </w:r>
      <w:r>
        <w:rPr>
          <w:rFonts w:ascii="Times New Roman" w:hAnsi="Times New Roman" w:eastAsia="仿宋" w:cs="Times New Roman"/>
          <w:kern w:val="0"/>
          <w:sz w:val="32"/>
          <w:szCs w:val="32"/>
        </w:rPr>
        <w:t>向全国股转公司报送</w:t>
      </w:r>
      <w:r>
        <w:rPr>
          <w:rFonts w:hint="eastAsia" w:ascii="Times New Roman" w:hAnsi="Times New Roman" w:eastAsia="仿宋" w:cs="Times New Roman"/>
          <w:kern w:val="0"/>
          <w:sz w:val="32"/>
          <w:szCs w:val="32"/>
        </w:rPr>
        <w:t>审核申请、股票登记申请等文件。</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黑体" w:cs="Times New Roman"/>
          <w:kern w:val="0"/>
          <w:sz w:val="32"/>
          <w:szCs w:val="32"/>
        </w:rPr>
        <w:t>6.</w:t>
      </w:r>
      <w:r>
        <w:rPr>
          <w:rFonts w:ascii="Times New Roman" w:hAnsi="Times New Roman" w:eastAsia="仿宋" w:cs="Times New Roman"/>
          <w:kern w:val="0"/>
          <w:sz w:val="32"/>
          <w:szCs w:val="32"/>
        </w:rPr>
        <w:t>本指南规定的报送文件是全国股转公司对相关文件的最低要求。根据</w:t>
      </w:r>
      <w:r>
        <w:rPr>
          <w:rFonts w:hint="eastAsia" w:ascii="Times New Roman" w:hAnsi="Times New Roman" w:eastAsia="仿宋" w:cs="Times New Roman"/>
          <w:kern w:val="0"/>
          <w:sz w:val="32"/>
          <w:szCs w:val="32"/>
        </w:rPr>
        <w:t>审核</w:t>
      </w:r>
      <w:r>
        <w:rPr>
          <w:rFonts w:ascii="Times New Roman" w:hAnsi="Times New Roman" w:eastAsia="仿宋" w:cs="Times New Roman"/>
          <w:kern w:val="0"/>
          <w:sz w:val="32"/>
          <w:szCs w:val="32"/>
        </w:rPr>
        <w:t>或</w:t>
      </w:r>
      <w:r>
        <w:rPr>
          <w:rFonts w:hint="eastAsia" w:ascii="Times New Roman" w:hAnsi="Times New Roman" w:eastAsia="仿宋" w:cs="Times New Roman"/>
          <w:kern w:val="0"/>
          <w:sz w:val="32"/>
          <w:szCs w:val="32"/>
        </w:rPr>
        <w:t>股票</w:t>
      </w:r>
      <w:r>
        <w:rPr>
          <w:rFonts w:ascii="Times New Roman" w:hAnsi="Times New Roman" w:eastAsia="仿宋" w:cs="Times New Roman"/>
          <w:kern w:val="0"/>
          <w:sz w:val="32"/>
          <w:szCs w:val="32"/>
        </w:rPr>
        <w:t>登记需要，全国股转公司可以要求公司、独立财务顾问、律师事务所及其他证券服务机构补充相关材料。</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黑体" w:cs="Times New Roman"/>
          <w:kern w:val="0"/>
          <w:sz w:val="32"/>
          <w:szCs w:val="32"/>
        </w:rPr>
        <w:t>7.</w:t>
      </w:r>
      <w:r>
        <w:rPr>
          <w:rFonts w:ascii="Times New Roman" w:hAnsi="Times New Roman" w:eastAsia="仿宋" w:cs="Times New Roman"/>
          <w:kern w:val="0"/>
          <w:sz w:val="32"/>
          <w:szCs w:val="32"/>
        </w:rPr>
        <w:t>报送文件所有需要签名处，均应为签名人亲笔签名，不得以名章、签名章等代替。</w:t>
      </w:r>
    </w:p>
    <w:p>
      <w:pPr>
        <w:spacing w:line="600" w:lineRule="exact"/>
        <w:ind w:firstLine="640" w:firstLineChars="200"/>
        <w:rPr>
          <w:rFonts w:ascii="Times New Roman" w:hAnsi="Times New Roman" w:eastAsia="仿宋" w:cs="Times New Roman"/>
          <w:sz w:val="32"/>
          <w:szCs w:val="32"/>
        </w:rPr>
      </w:pPr>
    </w:p>
    <w:p>
      <w:pPr>
        <w:spacing w:line="600" w:lineRule="exact"/>
        <w:ind w:left="1918" w:leftChars="304" w:hanging="1280" w:hangingChars="400"/>
        <w:rPr>
          <w:rFonts w:ascii="Times New Roman" w:hAnsi="Times New Roman" w:eastAsia="仿宋" w:cs="Times New Roman"/>
          <w:sz w:val="32"/>
          <w:szCs w:val="32"/>
        </w:rPr>
      </w:pPr>
      <w:r>
        <w:rPr>
          <w:rFonts w:hint="eastAsia" w:ascii="Times New Roman" w:hAnsi="Times New Roman" w:eastAsia="仿宋" w:cs="Times New Roman"/>
          <w:sz w:val="32"/>
          <w:szCs w:val="32"/>
        </w:rPr>
        <w:t>附件：1．发行股份购买资产审核申请文件目录</w:t>
      </w:r>
    </w:p>
    <w:p>
      <w:pPr>
        <w:spacing w:line="600" w:lineRule="exact"/>
        <w:ind w:left="1916" w:leftChars="760" w:hanging="320" w:hangingChars="100"/>
        <w:rPr>
          <w:rFonts w:ascii="Times New Roman" w:hAnsi="Times New Roman" w:eastAsia="仿宋" w:cs="Times New Roman"/>
          <w:sz w:val="32"/>
          <w:szCs w:val="32"/>
        </w:rPr>
      </w:pPr>
      <w:r>
        <w:rPr>
          <w:rFonts w:hint="eastAsia" w:ascii="Times New Roman" w:hAnsi="Times New Roman" w:eastAsia="仿宋" w:cs="Times New Roman"/>
          <w:sz w:val="32"/>
          <w:szCs w:val="32"/>
        </w:rPr>
        <w:t>2．发行股份购买资产申请报告</w:t>
      </w:r>
    </w:p>
    <w:p>
      <w:pPr>
        <w:spacing w:line="600" w:lineRule="exact"/>
        <w:ind w:firstLine="1600" w:firstLineChars="5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kern w:val="0"/>
          <w:sz w:val="32"/>
          <w:szCs w:val="32"/>
        </w:rPr>
        <w:t>．</w:t>
      </w:r>
      <w:r>
        <w:rPr>
          <w:rFonts w:hint="eastAsia" w:ascii="Times New Roman" w:hAnsi="Times New Roman" w:eastAsia="仿宋" w:cs="Times New Roman"/>
          <w:sz w:val="32"/>
          <w:szCs w:val="32"/>
        </w:rPr>
        <w:t>股票登记申请文件目录</w:t>
      </w:r>
    </w:p>
    <w:p>
      <w:pPr>
        <w:spacing w:line="600" w:lineRule="exact"/>
        <w:ind w:firstLine="1600" w:firstLineChars="5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kern w:val="0"/>
          <w:sz w:val="32"/>
          <w:szCs w:val="32"/>
        </w:rPr>
        <w:t>．</w:t>
      </w:r>
      <w:r>
        <w:rPr>
          <w:rFonts w:hint="eastAsia" w:ascii="Times New Roman" w:hAnsi="Times New Roman" w:eastAsia="仿宋" w:cs="Times New Roman"/>
          <w:sz w:val="32"/>
          <w:szCs w:val="32"/>
        </w:rPr>
        <w:t>发行股份登记明细表</w:t>
      </w:r>
    </w:p>
    <w:p>
      <w:pPr>
        <w:spacing w:line="600" w:lineRule="exact"/>
        <w:ind w:firstLine="1600" w:firstLineChars="5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股份限售申请</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kern w:val="0"/>
          <w:sz w:val="32"/>
          <w:szCs w:val="32"/>
        </w:rPr>
        <w:t>．</w:t>
      </w:r>
      <w:r>
        <w:rPr>
          <w:rFonts w:hint="eastAsia" w:ascii="Times New Roman" w:hAnsi="Times New Roman" w:eastAsia="仿宋" w:cs="Times New Roman"/>
          <w:sz w:val="32"/>
          <w:szCs w:val="32"/>
        </w:rPr>
        <w:t>发行股份购买资产重大事项确认函</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7</w:t>
      </w:r>
      <w:r>
        <w:rPr>
          <w:rFonts w:hint="eastAsia" w:ascii="Times New Roman" w:hAnsi="Times New Roman" w:eastAsia="仿宋"/>
          <w:color w:val="000000"/>
          <w:sz w:val="32"/>
          <w:szCs w:val="30"/>
        </w:rPr>
        <w:t>．</w:t>
      </w:r>
      <w:r>
        <w:rPr>
          <w:rFonts w:hint="eastAsia" w:ascii="Times New Roman" w:hAnsi="Times New Roman" w:eastAsia="仿宋" w:cs="Times New Roman"/>
          <w:sz w:val="32"/>
          <w:szCs w:val="32"/>
        </w:rPr>
        <w:t>终止发行股份购买资产申请文件</w:t>
      </w:r>
    </w:p>
    <w:p>
      <w:pPr>
        <w:spacing w:line="600" w:lineRule="exact"/>
        <w:jc w:val="left"/>
        <w:rPr>
          <w:rFonts w:ascii="Times New Roman" w:hAnsi="Times New Roman" w:eastAsia="黑体" w:cs="Times New Roman"/>
          <w:kern w:val="0"/>
          <w:sz w:val="32"/>
          <w:szCs w:val="32"/>
        </w:rPr>
      </w:pPr>
      <w:r>
        <w:rPr>
          <w:rFonts w:ascii="Times New Roman" w:hAnsi="Times New Roman" w:eastAsia="仿宋" w:cs="Times New Roman"/>
          <w:kern w:val="0"/>
          <w:sz w:val="28"/>
          <w:szCs w:val="30"/>
        </w:rPr>
        <w:br w:type="page"/>
      </w:r>
      <w:r>
        <w:rPr>
          <w:rFonts w:ascii="Times New Roman" w:hAnsi="Times New Roman" w:eastAsia="黑体" w:cs="Times New Roman"/>
          <w:kern w:val="0"/>
          <w:sz w:val="32"/>
          <w:szCs w:val="32"/>
        </w:rPr>
        <w:t>附件1</w:t>
      </w:r>
    </w:p>
    <w:p>
      <w:pPr>
        <w:tabs>
          <w:tab w:val="left" w:pos="1820"/>
        </w:tabs>
        <w:spacing w:line="600" w:lineRule="exact"/>
        <w:textAlignment w:val="baseline"/>
        <w:rPr>
          <w:rFonts w:ascii="Times New Roman" w:hAnsi="Times New Roman" w:eastAsia="黑体" w:cs="Times New Roman"/>
          <w:kern w:val="0"/>
          <w:sz w:val="40"/>
          <w:szCs w:val="42"/>
        </w:rPr>
      </w:pP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发行股份购买资产审核申请文件目录</w:t>
      </w:r>
    </w:p>
    <w:p>
      <w:pPr>
        <w:tabs>
          <w:tab w:val="left" w:pos="1820"/>
        </w:tabs>
        <w:spacing w:line="600" w:lineRule="exact"/>
        <w:jc w:val="center"/>
        <w:textAlignment w:val="baseline"/>
        <w:rPr>
          <w:rFonts w:ascii="Times New Roman" w:hAnsi="Times New Roman" w:eastAsia="黑体" w:cs="Times New Roman"/>
          <w:kern w:val="0"/>
          <w:sz w:val="40"/>
          <w:szCs w:val="42"/>
        </w:rPr>
      </w:pPr>
    </w:p>
    <w:p>
      <w:pPr>
        <w:snapToGrid w:val="0"/>
        <w:spacing w:line="600" w:lineRule="exact"/>
        <w:ind w:firstLine="640" w:firstLineChars="200"/>
        <w:jc w:val="left"/>
        <w:textAlignment w:val="baseline"/>
        <w:rPr>
          <w:rFonts w:ascii="Times New Roman" w:hAnsi="Times New Roman" w:eastAsia="仿宋_GB2312" w:cs="Times New Roman"/>
          <w:b/>
          <w:bCs/>
          <w:sz w:val="32"/>
        </w:rPr>
      </w:pPr>
      <w:r>
        <w:rPr>
          <w:rFonts w:ascii="Times New Roman" w:hAnsi="Times New Roman" w:eastAsia="仿宋_GB2312" w:cs="Times New Roman"/>
          <w:b/>
          <w:bCs/>
          <w:sz w:val="32"/>
        </w:rPr>
        <w:t>一、重大资产重组报告书</w:t>
      </w:r>
    </w:p>
    <w:p>
      <w:pPr>
        <w:spacing w:line="600" w:lineRule="exact"/>
        <w:ind w:left="654"/>
        <w:rPr>
          <w:rFonts w:ascii="Times New Roman" w:hAnsi="Times New Roman" w:eastAsia="仿宋_GB2312" w:cs="Times New Roman"/>
          <w:sz w:val="32"/>
        </w:rPr>
      </w:pPr>
      <w:r>
        <w:rPr>
          <w:rFonts w:ascii="Times New Roman" w:hAnsi="Times New Roman" w:eastAsia="仿宋_GB2312" w:cs="Times New Roman"/>
          <w:sz w:val="32"/>
        </w:rPr>
        <w:t>1-1  发行股份购买资产申请报告</w:t>
      </w:r>
    </w:p>
    <w:p>
      <w:pPr>
        <w:spacing w:line="600" w:lineRule="exact"/>
        <w:ind w:left="654"/>
        <w:jc w:val="left"/>
        <w:rPr>
          <w:rFonts w:ascii="Times New Roman" w:hAnsi="Times New Roman" w:eastAsia="仿宋_GB2312" w:cs="Times New Roman"/>
          <w:sz w:val="32"/>
        </w:rPr>
      </w:pPr>
      <w:r>
        <w:rPr>
          <w:rFonts w:ascii="Times New Roman" w:hAnsi="Times New Roman" w:eastAsia="仿宋_GB2312" w:cs="Times New Roman"/>
          <w:sz w:val="32"/>
        </w:rPr>
        <w:t>1-2  重大资产重组报告书</w:t>
      </w:r>
    </w:p>
    <w:p>
      <w:pPr>
        <w:spacing w:line="600" w:lineRule="exact"/>
        <w:ind w:firstLine="640" w:firstLineChars="200"/>
        <w:jc w:val="left"/>
        <w:rPr>
          <w:rFonts w:ascii="Times New Roman" w:hAnsi="Times New Roman" w:eastAsia="黑体" w:cs="Times New Roman"/>
          <w:sz w:val="32"/>
        </w:rPr>
      </w:pPr>
      <w:r>
        <w:rPr>
          <w:rFonts w:ascii="Times New Roman" w:hAnsi="Times New Roman" w:eastAsia="仿宋_GB2312" w:cs="Times New Roman"/>
          <w:sz w:val="32"/>
        </w:rPr>
        <w:t>1-3  重大资产重组的董事会决议、监事会书面审核意见和股东大会决议</w:t>
      </w:r>
    </w:p>
    <w:p>
      <w:pPr>
        <w:snapToGrid w:val="0"/>
        <w:spacing w:line="600" w:lineRule="exact"/>
        <w:ind w:firstLine="640" w:firstLineChars="200"/>
        <w:jc w:val="left"/>
        <w:textAlignment w:val="baseline"/>
        <w:rPr>
          <w:rFonts w:ascii="Times New Roman" w:hAnsi="Times New Roman" w:eastAsia="仿宋_GB2312" w:cs="Times New Roman"/>
          <w:b/>
          <w:bCs/>
          <w:sz w:val="32"/>
        </w:rPr>
      </w:pPr>
      <w:r>
        <w:rPr>
          <w:rFonts w:ascii="Times New Roman" w:hAnsi="Times New Roman" w:eastAsia="仿宋_GB2312" w:cs="Times New Roman"/>
          <w:b/>
          <w:bCs/>
          <w:sz w:val="32"/>
        </w:rPr>
        <w:t>二、独立财务顾问和律师出具的文件</w:t>
      </w:r>
    </w:p>
    <w:p>
      <w:pPr>
        <w:spacing w:line="600" w:lineRule="exact"/>
        <w:ind w:left="654"/>
        <w:rPr>
          <w:rFonts w:ascii="Times New Roman" w:hAnsi="Times New Roman" w:eastAsia="仿宋_GB2312" w:cs="Times New Roman"/>
          <w:sz w:val="32"/>
        </w:rPr>
      </w:pPr>
      <w:r>
        <w:rPr>
          <w:rFonts w:ascii="Times New Roman" w:hAnsi="Times New Roman" w:eastAsia="仿宋_GB2312" w:cs="Times New Roman"/>
          <w:sz w:val="32"/>
        </w:rPr>
        <w:t>2-1  独立财务顾问报告</w:t>
      </w:r>
    </w:p>
    <w:p>
      <w:pPr>
        <w:spacing w:line="600" w:lineRule="exact"/>
        <w:ind w:firstLine="640" w:firstLineChars="200"/>
        <w:jc w:val="left"/>
        <w:rPr>
          <w:rFonts w:ascii="Times New Roman" w:hAnsi="Times New Roman" w:eastAsia="黑体" w:cs="Times New Roman"/>
          <w:sz w:val="32"/>
        </w:rPr>
      </w:pPr>
      <w:r>
        <w:rPr>
          <w:rFonts w:ascii="Times New Roman" w:hAnsi="Times New Roman" w:eastAsia="仿宋_GB2312" w:cs="Times New Roman"/>
          <w:sz w:val="32"/>
        </w:rPr>
        <w:t>2-2  法律意见书</w:t>
      </w:r>
    </w:p>
    <w:p>
      <w:pPr>
        <w:snapToGrid w:val="0"/>
        <w:spacing w:line="600" w:lineRule="exact"/>
        <w:ind w:firstLine="640" w:firstLineChars="200"/>
        <w:jc w:val="left"/>
        <w:textAlignment w:val="baseline"/>
        <w:rPr>
          <w:rFonts w:ascii="Times New Roman" w:hAnsi="Times New Roman" w:eastAsia="仿宋_GB2312" w:cs="Times New Roman"/>
          <w:b/>
          <w:bCs/>
          <w:sz w:val="32"/>
        </w:rPr>
      </w:pPr>
      <w:r>
        <w:rPr>
          <w:rFonts w:ascii="Times New Roman" w:hAnsi="Times New Roman" w:eastAsia="仿宋_GB2312" w:cs="Times New Roman"/>
          <w:b/>
          <w:bCs/>
          <w:sz w:val="32"/>
        </w:rPr>
        <w:t>三、本次重大资产重组涉及的财务信息相关文件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3-1  本次重大资产重组涉及的拟购买、出售资产的财务报告和审计报告（确实无法提供的，应当说明原因及相关资产的财务状况和经营成果）</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3-2  本次重大资产重组涉及的拟购买、出售资产的评估报告及评估说明，资产估值报告（如有）</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3-3  交易对方最近1年的财务报告和审计报告（如有）</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3-4  拟购买资产盈利预测报告（如有）</w:t>
      </w:r>
    </w:p>
    <w:p>
      <w:pPr>
        <w:snapToGrid w:val="0"/>
        <w:spacing w:line="600" w:lineRule="exact"/>
        <w:ind w:firstLine="640" w:firstLineChars="200"/>
        <w:jc w:val="left"/>
        <w:textAlignment w:val="baseline"/>
        <w:rPr>
          <w:rFonts w:ascii="仿宋_GB2312" w:hAnsi="仿宋_GB2312" w:eastAsia="仿宋_GB2312"/>
          <w:b/>
          <w:bCs/>
          <w:sz w:val="32"/>
        </w:rPr>
      </w:pPr>
      <w:r>
        <w:rPr>
          <w:rFonts w:hint="eastAsia" w:ascii="仿宋_GB2312" w:hAnsi="仿宋_GB2312" w:eastAsia="仿宋_GB2312"/>
          <w:b/>
          <w:bCs/>
          <w:sz w:val="32"/>
        </w:rPr>
        <w:t>四、本次重大资产重组涉及的有关协议、合同和决议</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4-1  重大资产重组的协议或合同</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4-2  涉及本次重大资产重组的其他重要协议或合同</w:t>
      </w:r>
    </w:p>
    <w:p>
      <w:pPr>
        <w:spacing w:line="600" w:lineRule="exact"/>
        <w:ind w:firstLine="640" w:firstLineChars="200"/>
        <w:jc w:val="left"/>
        <w:rPr>
          <w:rFonts w:ascii="Times New Roman" w:hAnsi="Times New Roman" w:eastAsia="仿宋_GB2312" w:cs="Times New Roman"/>
          <w:sz w:val="32"/>
        </w:rPr>
      </w:pPr>
      <w:r>
        <w:rPr>
          <w:rFonts w:ascii="Times New Roman" w:hAnsi="Times New Roman" w:eastAsia="仿宋_GB2312" w:cs="Times New Roman"/>
          <w:sz w:val="32"/>
        </w:rPr>
        <w:t>4-3  交易对方内部权力机关批准本次交易事项的相关决议</w:t>
      </w:r>
    </w:p>
    <w:p>
      <w:pPr>
        <w:snapToGrid w:val="0"/>
        <w:spacing w:line="600" w:lineRule="exact"/>
        <w:ind w:firstLine="640" w:firstLineChars="200"/>
        <w:jc w:val="left"/>
        <w:textAlignment w:val="baseline"/>
        <w:rPr>
          <w:rFonts w:ascii="Times New Roman" w:hAnsi="Times New Roman" w:eastAsia="仿宋_GB2312" w:cs="Times New Roman"/>
          <w:b/>
          <w:bCs/>
          <w:sz w:val="32"/>
        </w:rPr>
      </w:pPr>
      <w:r>
        <w:rPr>
          <w:rFonts w:ascii="Times New Roman" w:hAnsi="Times New Roman" w:eastAsia="仿宋_GB2312" w:cs="Times New Roman"/>
          <w:b/>
          <w:bCs/>
          <w:sz w:val="32"/>
        </w:rPr>
        <w:t>五、本次重大资产重组的其他文件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5-1  有关部门对重大资产重组的审批、核准或备案文件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5-2  关于股份锁定期的承诺</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5-3  交易对方的营业执照复印件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5-4  拟购买资产的权属证明文件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5-5  与拟购买资产生产经营有关的资质证明或批准文件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5-6  公司全体董事和独立财务顾问、律师事务所、会计师事务所、资产评估机构等证券服务机构及其签字人员对重大资产重组申请文件真实性、准确性和完整性的承诺书</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5-7  公司与交易对方就重大资产重组事宜采取的保密措施及保密制度的说明，并提供与所聘请的证券服务机构签署的保密协议及交易进程备忘录</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5-8  本次重大资产重组前12个月内公司购买、出售资产的说明及专业机构意见（如有）</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 w:cs="Times New Roman"/>
          <w:color w:val="000000"/>
          <w:sz w:val="32"/>
          <w:szCs w:val="30"/>
        </w:rPr>
        <w:t>5-9  独立财务顾问关于公司发行股份购买资产构成重大资产重组审核申请文件受理检查要点的落实情况表</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 xml:space="preserve">5-10 </w:t>
      </w:r>
      <w:r>
        <w:rPr>
          <w:rFonts w:ascii="Times New Roman" w:hAnsi="Times New Roman" w:eastAsia="仿宋" w:cs="Times New Roman"/>
          <w:color w:val="000000"/>
          <w:sz w:val="32"/>
          <w:szCs w:val="30"/>
        </w:rPr>
        <w:t xml:space="preserve"> </w:t>
      </w:r>
      <w:r>
        <w:rPr>
          <w:rFonts w:ascii="Times New Roman" w:hAnsi="Times New Roman" w:eastAsia="仿宋_GB2312" w:cs="Times New Roman"/>
          <w:sz w:val="32"/>
        </w:rPr>
        <w:t>关于申请电子文件与预留文件一致的鉴证意见</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5-11  中国证监会或全国股转公司要求提供的其他文件</w:t>
      </w:r>
    </w:p>
    <w:p>
      <w:pPr>
        <w:spacing w:line="600" w:lineRule="exact"/>
        <w:rPr>
          <w:rFonts w:ascii="仿宋_GB2312" w:hAnsi="仿宋_GB2312" w:eastAsia="仿宋_GB2312"/>
          <w:sz w:val="32"/>
        </w:rPr>
      </w:pPr>
      <w:r>
        <w:rPr>
          <w:rFonts w:hint="eastAsia" w:ascii="仿宋_GB2312" w:hAnsi="仿宋_GB2312" w:eastAsia="仿宋_GB2312"/>
          <w:sz w:val="32"/>
        </w:rPr>
        <w:br w:type="page"/>
      </w:r>
    </w:p>
    <w:p>
      <w:pPr>
        <w:spacing w:line="60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pPr>
        <w:tabs>
          <w:tab w:val="left" w:pos="1820"/>
        </w:tabs>
        <w:spacing w:line="600" w:lineRule="exact"/>
        <w:textAlignment w:val="baseline"/>
        <w:rPr>
          <w:rFonts w:ascii="Times New Roman" w:hAnsi="Times New Roman" w:eastAsia="黑体" w:cs="Times New Roman"/>
          <w:kern w:val="0"/>
          <w:sz w:val="32"/>
          <w:szCs w:val="32"/>
        </w:rPr>
      </w:pP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发行股份购买资产申请报告</w:t>
      </w:r>
    </w:p>
    <w:p>
      <w:pPr>
        <w:tabs>
          <w:tab w:val="left" w:pos="1820"/>
        </w:tabs>
        <w:spacing w:line="600" w:lineRule="exact"/>
        <w:jc w:val="center"/>
        <w:textAlignment w:val="baseline"/>
        <w:rPr>
          <w:rFonts w:ascii="Times New Roman" w:hAnsi="Times New Roman" w:eastAsia="方正大标宋简体" w:cs="Times New Roman"/>
          <w:kern w:val="0"/>
          <w:sz w:val="42"/>
          <w:szCs w:val="42"/>
        </w:rPr>
      </w:pPr>
    </w:p>
    <w:p>
      <w:pPr>
        <w:spacing w:line="600" w:lineRule="exact"/>
        <w:jc w:val="center"/>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XXXX股份（有限）公司发行股份购买资产</w:t>
      </w:r>
      <w:r>
        <w:rPr>
          <w:rFonts w:hint="eastAsia" w:ascii="Times New Roman" w:hAnsi="Times New Roman" w:eastAsia="仿宋" w:cs="Times New Roman"/>
          <w:b/>
          <w:kern w:val="0"/>
          <w:sz w:val="32"/>
          <w:szCs w:val="32"/>
        </w:rPr>
        <w:t>审核</w:t>
      </w:r>
      <w:r>
        <w:rPr>
          <w:rFonts w:ascii="Times New Roman" w:hAnsi="Times New Roman" w:eastAsia="仿宋" w:cs="Times New Roman"/>
          <w:b/>
          <w:kern w:val="0"/>
          <w:sz w:val="32"/>
          <w:szCs w:val="32"/>
        </w:rPr>
        <w:t>申请报告</w:t>
      </w:r>
    </w:p>
    <w:p>
      <w:pPr>
        <w:spacing w:line="600" w:lineRule="exact"/>
        <w:jc w:val="center"/>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全国中小企业股份转让系统有限责任公司：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XXXX股份</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有限</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公司经XXXX证券股份有限（或有限责任）公司推荐，于XXXX年XX月XX日在全国中小企业股份转让系统挂牌，证券简称：XXXX，证券代码：XXXX。</w:t>
      </w:r>
    </w:p>
    <w:p>
      <w:pPr>
        <w:spacing w:line="600" w:lineRule="exact"/>
        <w:ind w:firstLine="640"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Times New Roman" w:eastAsia="仿宋" w:cs="Times New Roman"/>
          <w:b/>
          <w:bCs/>
          <w:color w:val="000000"/>
          <w:sz w:val="32"/>
          <w:szCs w:val="32"/>
          <w:lang w:val="zh-CN"/>
        </w:rPr>
        <w:t>情形一，发行后股东累计超过</w:t>
      </w:r>
      <w:r>
        <w:rPr>
          <w:rFonts w:ascii="Times New Roman" w:hAnsi="Times New Roman" w:eastAsia="仿宋" w:cs="Times New Roman"/>
          <w:b/>
          <w:bCs/>
          <w:color w:val="000000"/>
          <w:sz w:val="32"/>
          <w:szCs w:val="32"/>
          <w:lang w:val="zh-CN"/>
        </w:rPr>
        <w:t>200</w:t>
      </w:r>
      <w:r>
        <w:rPr>
          <w:rFonts w:hint="eastAsia" w:ascii="Times New Roman" w:hAnsi="Times New Roman" w:eastAsia="仿宋" w:cs="Times New Roman"/>
          <w:b/>
          <w:bCs/>
          <w:color w:val="000000"/>
          <w:sz w:val="32"/>
          <w:szCs w:val="32"/>
          <w:lang w:val="zh-CN"/>
        </w:rPr>
        <w:t>人的发行适用</w:t>
      </w:r>
      <w:r>
        <w:rPr>
          <w:rFonts w:hint="eastAsia" w:ascii="Times New Roman" w:hAnsi="Times New Roman" w:eastAsia="仿宋" w:cs="Times New Roman"/>
          <w:b/>
          <w:bCs/>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XXXX于XXXX年XX月XX日召开董事会，审议通过了拟发行股份购买资产</w:t>
      </w:r>
      <w:r>
        <w:rPr>
          <w:rFonts w:hint="eastAsia" w:ascii="Times New Roman" w:hAnsi="Times New Roman" w:eastAsia="仿宋" w:cs="Times New Roman"/>
          <w:sz w:val="32"/>
          <w:szCs w:val="32"/>
        </w:rPr>
        <w:t>构成重大资产重组</w:t>
      </w:r>
      <w:r>
        <w:rPr>
          <w:rFonts w:ascii="Times New Roman" w:hAnsi="Times New Roman" w:eastAsia="仿宋" w:cs="Times New Roman"/>
          <w:sz w:val="32"/>
          <w:szCs w:val="32"/>
        </w:rPr>
        <w:t>的决议。XXXX年XX月XX日公司召开股东大会，经出席会议的有表决权股东所持表决权2/3以上通过，决议批准本次发行股份购买资产</w:t>
      </w:r>
      <w:r>
        <w:rPr>
          <w:rFonts w:hint="eastAsia" w:ascii="Times New Roman" w:hAnsi="Times New Roman" w:eastAsia="仿宋" w:cs="Times New Roman"/>
          <w:sz w:val="32"/>
          <w:szCs w:val="32"/>
        </w:rPr>
        <w:t>事项</w:t>
      </w:r>
      <w:r>
        <w:rPr>
          <w:rFonts w:ascii="Times New Roman" w:hAnsi="Times New Roman" w:eastAsia="仿宋" w:cs="Times New Roman"/>
          <w:sz w:val="32"/>
          <w:szCs w:val="32"/>
        </w:rPr>
        <w:t>，其中持股比例10%以下的股东表决情况为：XXXX。</w:t>
      </w:r>
    </w:p>
    <w:p>
      <w:pPr>
        <w:spacing w:line="600" w:lineRule="exact"/>
        <w:ind w:firstLine="640" w:firstLineChars="200"/>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截至本次发行股权登记日</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日，我司共有</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名</w:t>
      </w:r>
      <w:r>
        <w:rPr>
          <w:rFonts w:ascii="Times New Roman" w:hAnsi="Times New Roman" w:eastAsia="仿宋"/>
          <w:color w:val="000000"/>
          <w:kern w:val="0"/>
          <w:sz w:val="32"/>
          <w:szCs w:val="32"/>
          <w:lang w:val="zh-CN"/>
        </w:rPr>
        <w:t>普通股</w:t>
      </w:r>
      <w:r>
        <w:rPr>
          <w:rFonts w:hint="eastAsia" w:ascii="Times New Roman" w:hAnsi="Times New Roman" w:eastAsia="仿宋"/>
          <w:color w:val="000000"/>
          <w:kern w:val="0"/>
          <w:sz w:val="32"/>
          <w:szCs w:val="32"/>
          <w:lang w:val="zh-CN"/>
        </w:rPr>
        <w:t>股东、</w:t>
      </w:r>
      <w:r>
        <w:rPr>
          <w:rFonts w:ascii="Times New Roman" w:hAnsi="Times New Roman" w:eastAsia="仿宋"/>
          <w:color w:val="000000"/>
          <w:kern w:val="0"/>
          <w:sz w:val="32"/>
          <w:szCs w:val="32"/>
          <w:lang w:val="zh-CN"/>
        </w:rPr>
        <w:t>X</w:t>
      </w:r>
      <w:r>
        <w:rPr>
          <w:rFonts w:hint="eastAsia" w:ascii="Times New Roman" w:hAnsi="Times New Roman" w:eastAsia="仿宋"/>
          <w:color w:val="000000"/>
          <w:kern w:val="0"/>
          <w:sz w:val="32"/>
          <w:szCs w:val="32"/>
          <w:lang w:val="zh-CN"/>
        </w:rPr>
        <w:t>名优先股股东及X名可转债持有人</w:t>
      </w:r>
      <w:r>
        <w:rPr>
          <w:rFonts w:hint="eastAsia" w:ascii="Times New Roman" w:hAnsi="Times New Roman" w:eastAsia="仿宋" w:cs="Times New Roman"/>
          <w:color w:val="000000"/>
          <w:kern w:val="0"/>
          <w:sz w:val="32"/>
          <w:szCs w:val="32"/>
          <w:lang w:val="zh-CN"/>
        </w:rPr>
        <w:t>。本次发行完成后，</w:t>
      </w:r>
      <w:r>
        <w:rPr>
          <w:rFonts w:hint="eastAsia" w:ascii="Times New Roman" w:hAnsi="Times New Roman" w:eastAsia="仿宋"/>
          <w:color w:val="000000"/>
          <w:kern w:val="0"/>
          <w:sz w:val="32"/>
          <w:szCs w:val="32"/>
          <w:lang w:val="zh-CN"/>
        </w:rPr>
        <w:t>证券持有人</w:t>
      </w:r>
      <w:r>
        <w:rPr>
          <w:rFonts w:hint="eastAsia" w:ascii="Times New Roman" w:hAnsi="Times New Roman" w:eastAsia="仿宋" w:cs="Times New Roman"/>
          <w:color w:val="000000"/>
          <w:kern w:val="0"/>
          <w:sz w:val="32"/>
          <w:szCs w:val="32"/>
          <w:lang w:val="zh-CN"/>
        </w:rPr>
        <w:t>人数合计</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人</w:t>
      </w:r>
      <w:r>
        <w:rPr>
          <w:rFonts w:ascii="Times New Roman" w:hAnsi="Times New Roman" w:eastAsia="仿宋" w:cs="Times New Roman"/>
          <w:color w:val="000000"/>
          <w:kern w:val="0"/>
          <w:sz w:val="32"/>
          <w:szCs w:val="32"/>
          <w:lang w:val="zh-CN"/>
        </w:rPr>
        <w:t>/</w:t>
      </w:r>
      <w:r>
        <w:rPr>
          <w:rFonts w:hint="eastAsia" w:ascii="Times New Roman" w:hAnsi="Times New Roman" w:eastAsia="仿宋" w:cs="Times New Roman"/>
          <w:color w:val="000000"/>
          <w:kern w:val="0"/>
          <w:sz w:val="32"/>
          <w:szCs w:val="32"/>
          <w:lang w:val="zh-CN"/>
        </w:rPr>
        <w:t>预计</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人。因本次发行完成后，</w:t>
      </w:r>
      <w:r>
        <w:rPr>
          <w:rFonts w:hint="eastAsia" w:ascii="Times New Roman" w:hAnsi="Times New Roman" w:eastAsia="仿宋"/>
          <w:color w:val="000000"/>
          <w:kern w:val="0"/>
          <w:sz w:val="32"/>
          <w:szCs w:val="32"/>
          <w:lang w:val="zh-CN"/>
        </w:rPr>
        <w:t>证券持有人累计</w:t>
      </w:r>
      <w:r>
        <w:rPr>
          <w:rFonts w:hint="eastAsia" w:ascii="Times New Roman" w:hAnsi="Times New Roman" w:eastAsia="仿宋" w:cs="Times New Roman"/>
          <w:color w:val="000000"/>
          <w:kern w:val="0"/>
          <w:sz w:val="32"/>
          <w:szCs w:val="32"/>
          <w:lang w:val="zh-CN"/>
        </w:rPr>
        <w:t>超过</w:t>
      </w:r>
      <w:r>
        <w:rPr>
          <w:rFonts w:ascii="Times New Roman" w:hAnsi="Times New Roman" w:eastAsia="仿宋" w:cs="Times New Roman"/>
          <w:color w:val="000000"/>
          <w:kern w:val="0"/>
          <w:sz w:val="32"/>
          <w:szCs w:val="32"/>
          <w:lang w:val="zh-CN"/>
        </w:rPr>
        <w:t>200</w:t>
      </w:r>
      <w:r>
        <w:rPr>
          <w:rFonts w:hint="eastAsia" w:ascii="Times New Roman" w:hAnsi="Times New Roman" w:eastAsia="仿宋" w:cs="Times New Roman"/>
          <w:color w:val="000000"/>
          <w:kern w:val="0"/>
          <w:sz w:val="32"/>
          <w:szCs w:val="32"/>
          <w:lang w:val="zh-CN"/>
        </w:rPr>
        <w:t>人，依据《非上市公众公司重大资产重组管理办法》的规定，须向中国证监会申请注册。</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本次发行股份总计不超过</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万股。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现特就本次发行股份购买资产事项提出申请。</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（情形二，</w:t>
      </w:r>
      <w:r>
        <w:rPr>
          <w:rFonts w:hint="eastAsia" w:ascii="Times New Roman" w:hAnsi="Times New Roman" w:eastAsia="仿宋" w:cs="Times New Roman"/>
          <w:b/>
          <w:bCs/>
          <w:sz w:val="32"/>
          <w:szCs w:val="32"/>
          <w:lang w:val="zh-CN"/>
        </w:rPr>
        <w:t>发行后股东累计不超过</w:t>
      </w:r>
      <w:r>
        <w:rPr>
          <w:rFonts w:ascii="Times New Roman" w:hAnsi="Times New Roman" w:eastAsia="仿宋" w:cs="Times New Roman"/>
          <w:b/>
          <w:bCs/>
          <w:sz w:val="32"/>
          <w:szCs w:val="32"/>
          <w:lang w:val="zh-CN"/>
        </w:rPr>
        <w:t>200</w:t>
      </w:r>
      <w:r>
        <w:rPr>
          <w:rFonts w:hint="eastAsia" w:ascii="Times New Roman" w:hAnsi="Times New Roman" w:eastAsia="仿宋" w:cs="Times New Roman"/>
          <w:b/>
          <w:bCs/>
          <w:sz w:val="32"/>
          <w:szCs w:val="32"/>
          <w:lang w:val="zh-CN"/>
        </w:rPr>
        <w:t>人的发行适用</w:t>
      </w:r>
      <w:r>
        <w:rPr>
          <w:rFonts w:hint="eastAsia" w:ascii="Times New Roman" w:hAnsi="Times New Roman" w:eastAsia="仿宋" w:cs="Times New Roman"/>
          <w:b/>
          <w:bCs/>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XXXX于XXXX年XX月XX日召开董事会，审议通过了拟发行股份购买资产</w:t>
      </w:r>
      <w:r>
        <w:rPr>
          <w:rFonts w:hint="eastAsia" w:ascii="Times New Roman" w:hAnsi="Times New Roman" w:eastAsia="仿宋" w:cs="Times New Roman"/>
          <w:sz w:val="32"/>
          <w:szCs w:val="32"/>
        </w:rPr>
        <w:t>构成重大资产重组</w:t>
      </w:r>
      <w:r>
        <w:rPr>
          <w:rFonts w:ascii="Times New Roman" w:hAnsi="Times New Roman" w:eastAsia="仿宋" w:cs="Times New Roman"/>
          <w:sz w:val="32"/>
          <w:szCs w:val="32"/>
        </w:rPr>
        <w:t>的决议。XXXX年XX月XX日公司召开股东大会，经出席会议的有表决权股东所持表决权2/3以上通过，决议批准本次发行股份购买资产</w:t>
      </w:r>
      <w:r>
        <w:rPr>
          <w:rFonts w:hint="eastAsia" w:ascii="Times New Roman" w:hAnsi="Times New Roman" w:eastAsia="仿宋" w:cs="Times New Roman"/>
          <w:sz w:val="32"/>
          <w:szCs w:val="32"/>
        </w:rPr>
        <w:t>事项</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color w:val="000000"/>
          <w:kern w:val="0"/>
          <w:sz w:val="32"/>
          <w:szCs w:val="32"/>
          <w:lang w:val="zh-CN"/>
        </w:rPr>
      </w:pPr>
      <w:r>
        <w:rPr>
          <w:rFonts w:ascii="Times New Roman" w:hAnsi="Times New Roman" w:eastAsia="仿宋" w:cs="Times New Roman"/>
          <w:sz w:val="32"/>
          <w:szCs w:val="32"/>
        </w:rPr>
        <w:t>截</w:t>
      </w:r>
      <w:r>
        <w:rPr>
          <w:rFonts w:hint="eastAsia" w:ascii="Times New Roman" w:hAnsi="Times New Roman" w:eastAsia="仿宋" w:cs="Times New Roman"/>
          <w:sz w:val="32"/>
          <w:szCs w:val="32"/>
        </w:rPr>
        <w:t>至</w:t>
      </w:r>
      <w:r>
        <w:rPr>
          <w:rFonts w:ascii="Times New Roman" w:hAnsi="Times New Roman" w:eastAsia="仿宋" w:cs="Times New Roman"/>
          <w:sz w:val="32"/>
          <w:szCs w:val="32"/>
        </w:rPr>
        <w:t>本次发行股权登记日XXXX年XX月XX日，我司共有</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名</w:t>
      </w:r>
      <w:r>
        <w:rPr>
          <w:rFonts w:ascii="Times New Roman" w:hAnsi="Times New Roman" w:eastAsia="仿宋"/>
          <w:color w:val="000000"/>
          <w:kern w:val="0"/>
          <w:sz w:val="32"/>
          <w:szCs w:val="32"/>
          <w:lang w:val="zh-CN"/>
        </w:rPr>
        <w:t>普通股</w:t>
      </w:r>
      <w:r>
        <w:rPr>
          <w:rFonts w:hint="eastAsia" w:ascii="Times New Roman" w:hAnsi="Times New Roman" w:eastAsia="仿宋"/>
          <w:color w:val="000000"/>
          <w:kern w:val="0"/>
          <w:sz w:val="32"/>
          <w:szCs w:val="32"/>
          <w:lang w:val="zh-CN"/>
        </w:rPr>
        <w:t>股东、</w:t>
      </w:r>
      <w:r>
        <w:rPr>
          <w:rFonts w:ascii="Times New Roman" w:hAnsi="Times New Roman" w:eastAsia="仿宋"/>
          <w:color w:val="000000"/>
          <w:kern w:val="0"/>
          <w:sz w:val="32"/>
          <w:szCs w:val="32"/>
          <w:lang w:val="zh-CN"/>
        </w:rPr>
        <w:t>X</w:t>
      </w:r>
      <w:r>
        <w:rPr>
          <w:rFonts w:hint="eastAsia" w:ascii="Times New Roman" w:hAnsi="Times New Roman" w:eastAsia="仿宋"/>
          <w:color w:val="000000"/>
          <w:kern w:val="0"/>
          <w:sz w:val="32"/>
          <w:szCs w:val="32"/>
          <w:lang w:val="zh-CN"/>
        </w:rPr>
        <w:t>名优先股股东及X名可转债持有人</w:t>
      </w:r>
      <w:r>
        <w:rPr>
          <w:rFonts w:ascii="Times New Roman" w:hAnsi="Times New Roman" w:eastAsia="仿宋" w:cs="Times New Roman"/>
          <w:sz w:val="32"/>
          <w:szCs w:val="32"/>
        </w:rPr>
        <w:t>。</w:t>
      </w:r>
      <w:r>
        <w:rPr>
          <w:rFonts w:hint="eastAsia" w:ascii="Times New Roman" w:hAnsi="Times New Roman" w:eastAsia="仿宋" w:cs="Times New Roman"/>
          <w:color w:val="000000"/>
          <w:kern w:val="0"/>
          <w:sz w:val="32"/>
          <w:szCs w:val="32"/>
          <w:lang w:val="zh-CN"/>
        </w:rPr>
        <w:t>本次发行完成后，</w:t>
      </w:r>
      <w:r>
        <w:rPr>
          <w:rFonts w:hint="eastAsia" w:ascii="Times New Roman" w:hAnsi="Times New Roman" w:eastAsia="仿宋"/>
          <w:color w:val="000000"/>
          <w:kern w:val="0"/>
          <w:sz w:val="32"/>
          <w:szCs w:val="32"/>
          <w:lang w:val="zh-CN"/>
        </w:rPr>
        <w:t>证券持有人</w:t>
      </w:r>
      <w:r>
        <w:rPr>
          <w:rFonts w:hint="eastAsia" w:ascii="Times New Roman" w:hAnsi="Times New Roman" w:eastAsia="仿宋" w:cs="Times New Roman"/>
          <w:color w:val="000000"/>
          <w:kern w:val="0"/>
          <w:sz w:val="32"/>
          <w:szCs w:val="32"/>
          <w:lang w:val="zh-CN"/>
        </w:rPr>
        <w:t>人数合计</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人</w:t>
      </w:r>
      <w:r>
        <w:rPr>
          <w:rFonts w:ascii="Times New Roman" w:hAnsi="Times New Roman" w:eastAsia="仿宋" w:cs="Times New Roman"/>
          <w:color w:val="000000"/>
          <w:kern w:val="0"/>
          <w:sz w:val="32"/>
          <w:szCs w:val="32"/>
          <w:lang w:val="zh-CN"/>
        </w:rPr>
        <w:t>/</w:t>
      </w:r>
      <w:r>
        <w:rPr>
          <w:rFonts w:hint="eastAsia" w:ascii="Times New Roman" w:hAnsi="Times New Roman" w:eastAsia="仿宋" w:cs="Times New Roman"/>
          <w:color w:val="000000"/>
          <w:kern w:val="0"/>
          <w:sz w:val="32"/>
          <w:szCs w:val="32"/>
          <w:lang w:val="zh-CN"/>
        </w:rPr>
        <w:t>预计</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人。因本次发行完成后，证券持有人累计不超过200人，依据《非上市公众公司重大资产重组管理办法》的规定，豁免向中国证监会申请注册。</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本次发行股份总计不超过</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万股。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现特就本次发行股份购买资产事项提出申请。</w:t>
      </w:r>
    </w:p>
    <w:p>
      <w:pPr>
        <w:spacing w:line="60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XXXX股份</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有限</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公司</w:t>
      </w:r>
    </w:p>
    <w:p>
      <w:pPr>
        <w:spacing w:line="60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（盖章）</w:t>
      </w:r>
    </w:p>
    <w:p>
      <w:pPr>
        <w:spacing w:line="60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tabs>
          <w:tab w:val="left" w:pos="1820"/>
        </w:tabs>
        <w:spacing w:line="600" w:lineRule="exact"/>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附件3</w:t>
      </w:r>
    </w:p>
    <w:p>
      <w:pPr>
        <w:tabs>
          <w:tab w:val="left" w:pos="1820"/>
        </w:tabs>
        <w:spacing w:line="600" w:lineRule="exact"/>
        <w:textAlignment w:val="baseline"/>
        <w:rPr>
          <w:rFonts w:ascii="Times New Roman" w:hAnsi="Times New Roman" w:eastAsia="黑体" w:cs="Times New Roman"/>
          <w:kern w:val="0"/>
          <w:sz w:val="40"/>
          <w:szCs w:val="42"/>
        </w:rPr>
      </w:pP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股票登记申请文件目录</w:t>
      </w:r>
    </w:p>
    <w:p>
      <w:pPr>
        <w:tabs>
          <w:tab w:val="left" w:pos="1820"/>
        </w:tabs>
        <w:spacing w:line="600" w:lineRule="exact"/>
        <w:jc w:val="center"/>
        <w:textAlignment w:val="baseline"/>
        <w:rPr>
          <w:rFonts w:ascii="Times New Roman" w:hAnsi="Times New Roman" w:eastAsia="黑体" w:cs="Times New Roman"/>
          <w:kern w:val="0"/>
          <w:sz w:val="40"/>
          <w:szCs w:val="42"/>
        </w:rPr>
      </w:pP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1</w:t>
      </w:r>
      <w:r>
        <w:rPr>
          <w:rFonts w:ascii="Times New Roman" w:hAnsi="Times New Roman" w:eastAsia="仿宋" w:cs="Times New Roman"/>
          <w:kern w:val="0"/>
          <w:sz w:val="32"/>
          <w:szCs w:val="32"/>
        </w:rPr>
        <w:t xml:space="preserve"> 重大资产重组实施情况报告书及独立财务顾问、律师专业意见</w:t>
      </w:r>
    </w:p>
    <w:p>
      <w:pPr>
        <w:pStyle w:val="17"/>
        <w:spacing w:line="600" w:lineRule="exact"/>
        <w:ind w:firstLine="640" w:firstLineChars="200"/>
        <w:jc w:val="left"/>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w:t>
      </w:r>
      <w:r>
        <w:rPr>
          <w:rFonts w:hint="eastAsia" w:ascii="Times New Roman" w:hAnsi="Times New Roman" w:eastAsia="仿宋" w:cs="Times New Roman"/>
          <w:color w:val="auto"/>
          <w:sz w:val="32"/>
          <w:szCs w:val="32"/>
          <w:lang w:val="en-US"/>
        </w:rPr>
        <w:t>发行股份登记明细表</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1-3 自愿限售申请</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 xml:space="preserve"> 验资报告</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5</w:t>
      </w:r>
      <w:r>
        <w:rPr>
          <w:rFonts w:ascii="Times New Roman" w:hAnsi="Times New Roman" w:eastAsia="仿宋" w:cs="Times New Roman"/>
          <w:kern w:val="0"/>
          <w:sz w:val="32"/>
          <w:szCs w:val="32"/>
        </w:rPr>
        <w:t xml:space="preserve"> 标的资产权属完成转移的证明文件</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1-6 </w:t>
      </w:r>
      <w:r>
        <w:rPr>
          <w:rFonts w:hint="eastAsia" w:ascii="Times New Roman" w:hAnsi="Times New Roman" w:eastAsia="仿宋" w:cs="Times New Roman"/>
          <w:sz w:val="32"/>
          <w:szCs w:val="32"/>
        </w:rPr>
        <w:t>发行股份购买资产重大事项确认函</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7</w:t>
      </w:r>
      <w:r>
        <w:rPr>
          <w:rFonts w:ascii="Times New Roman" w:hAnsi="Times New Roman" w:eastAsia="仿宋" w:cs="Times New Roman"/>
          <w:kern w:val="0"/>
          <w:sz w:val="32"/>
          <w:szCs w:val="32"/>
        </w:rPr>
        <w:t xml:space="preserve"> 要求报送的其他文件</w:t>
      </w:r>
    </w:p>
    <w:p>
      <w:pPr>
        <w:spacing w:line="600" w:lineRule="exact"/>
        <w:jc w:val="left"/>
        <w:rPr>
          <w:rFonts w:ascii="Times New Roman" w:hAnsi="Times New Roman" w:eastAsia="方正大标宋简体" w:cs="Times New Roman"/>
          <w:sz w:val="42"/>
          <w:szCs w:val="42"/>
        </w:rPr>
        <w:sectPr>
          <w:footerReference r:id="rId3" w:type="default"/>
          <w:footerReference r:id="rId4" w:type="even"/>
          <w:pgSz w:w="11906" w:h="16838"/>
          <w:pgMar w:top="2098" w:right="1531" w:bottom="1984" w:left="1531" w:header="851" w:footer="992" w:gutter="0"/>
          <w:pgNumType w:fmt="numberInDash"/>
          <w:cols w:space="425" w:num="1"/>
          <w:docGrid w:type="linesAndChars" w:linePitch="312" w:charSpace="0"/>
        </w:sectPr>
      </w:pPr>
      <w:r>
        <w:rPr>
          <w:rFonts w:ascii="Times New Roman" w:hAnsi="Times New Roman" w:eastAsia="仿宋" w:cs="Times New Roman"/>
          <w:kern w:val="0"/>
          <w:sz w:val="28"/>
          <w:szCs w:val="30"/>
        </w:rPr>
        <w:br w:type="page"/>
      </w:r>
    </w:p>
    <w:p>
      <w:pPr>
        <w:tabs>
          <w:tab w:val="left" w:pos="1820"/>
        </w:tabs>
        <w:spacing w:line="600" w:lineRule="exact"/>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附件4</w:t>
      </w:r>
    </w:p>
    <w:p>
      <w:pPr>
        <w:pStyle w:val="17"/>
        <w:spacing w:line="600" w:lineRule="exact"/>
        <w:rPr>
          <w:rFonts w:ascii="Times New Roman" w:hAnsi="Times New Roman" w:eastAsia="方正大标宋简体" w:cs="Times New Roman"/>
          <w:color w:val="auto"/>
          <w:sz w:val="42"/>
          <w:szCs w:val="42"/>
          <w:lang w:val="en-US"/>
        </w:rPr>
      </w:pPr>
    </w:p>
    <w:p>
      <w:pPr>
        <w:pStyle w:val="17"/>
        <w:spacing w:line="600" w:lineRule="exact"/>
        <w:rPr>
          <w:rFonts w:ascii="方正大标宋简体" w:hAnsi="方正大标宋简体" w:eastAsia="方正大标宋简体" w:cs="方正大标宋简体"/>
          <w:color w:val="auto"/>
          <w:sz w:val="42"/>
          <w:szCs w:val="42"/>
          <w:lang w:val="en-US"/>
        </w:rPr>
      </w:pPr>
      <w:r>
        <w:rPr>
          <w:rFonts w:hint="eastAsia" w:ascii="方正大标宋简体" w:hAnsi="方正大标宋简体" w:eastAsia="方正大标宋简体" w:cs="方正大标宋简体"/>
          <w:sz w:val="42"/>
          <w:szCs w:val="42"/>
        </w:rPr>
        <w:t>XX股份（有限）公司</w:t>
      </w:r>
      <w:r>
        <w:rPr>
          <w:rFonts w:hint="eastAsia" w:ascii="方正大标宋简体" w:hAnsi="方正大标宋简体" w:eastAsia="方正大标宋简体" w:cs="方正大标宋简体"/>
          <w:color w:val="auto"/>
          <w:sz w:val="42"/>
          <w:szCs w:val="42"/>
          <w:lang w:val="en-US"/>
        </w:rPr>
        <w:t>发行股份登记明细表</w:t>
      </w:r>
    </w:p>
    <w:p>
      <w:pPr>
        <w:pStyle w:val="17"/>
        <w:spacing w:line="600" w:lineRule="exact"/>
        <w:rPr>
          <w:rFonts w:ascii="Times New Roman" w:hAnsi="Times New Roman" w:eastAsia="方正大标宋简体" w:cs="Times New Roman"/>
          <w:color w:val="auto"/>
          <w:sz w:val="42"/>
          <w:szCs w:val="42"/>
          <w:lang w:val="en-US"/>
        </w:rPr>
      </w:pPr>
    </w:p>
    <w:p>
      <w:pPr>
        <w:pStyle w:val="17"/>
        <w:spacing w:line="600" w:lineRule="exact"/>
        <w:rPr>
          <w:rFonts w:ascii="Times New Roman" w:hAnsi="Times New Roman" w:eastAsia="仿宋" w:cs="Times New Roman"/>
          <w:b/>
          <w:spacing w:val="-4"/>
          <w:sz w:val="24"/>
          <w:szCs w:val="24"/>
        </w:rPr>
      </w:pPr>
      <w:r>
        <w:rPr>
          <w:rFonts w:hint="eastAsia" w:ascii="Times New Roman" w:hAnsi="Times New Roman" w:eastAsia="仿宋" w:cs="Times New Roman"/>
          <w:b/>
          <w:spacing w:val="-4"/>
          <w:sz w:val="24"/>
          <w:szCs w:val="24"/>
        </w:rPr>
        <w:t>公司全称：</w:t>
      </w:r>
      <w:r>
        <w:rPr>
          <w:rFonts w:ascii="Times New Roman" w:hAnsi="Times New Roman" w:eastAsia="仿宋" w:cs="Times New Roman"/>
          <w:b/>
          <w:spacing w:val="-4"/>
          <w:sz w:val="24"/>
          <w:szCs w:val="24"/>
        </w:rPr>
        <w:t>XXXX</w:t>
      </w:r>
      <w:r>
        <w:rPr>
          <w:rFonts w:hint="eastAsia" w:ascii="Times New Roman" w:hAnsi="Times New Roman" w:eastAsia="仿宋" w:cs="Times New Roman"/>
          <w:b/>
          <w:spacing w:val="-4"/>
          <w:sz w:val="24"/>
          <w:szCs w:val="24"/>
        </w:rPr>
        <w:t>股份（有限）公司（盖章）</w:t>
      </w:r>
      <w:r>
        <w:rPr>
          <w:rFonts w:ascii="Times New Roman" w:hAnsi="Times New Roman" w:eastAsia="仿宋" w:cs="Times New Roman"/>
          <w:b/>
          <w:spacing w:val="-4"/>
          <w:sz w:val="24"/>
          <w:szCs w:val="24"/>
        </w:rPr>
        <w:t xml:space="preserve">  </w:t>
      </w:r>
      <w:r>
        <w:rPr>
          <w:rFonts w:hint="eastAsia" w:ascii="Times New Roman" w:hAnsi="Times New Roman" w:eastAsia="仿宋" w:cs="Times New Roman"/>
          <w:b/>
          <w:spacing w:val="-4"/>
          <w:sz w:val="24"/>
          <w:szCs w:val="24"/>
        </w:rPr>
        <w:t>证券简称：</w:t>
      </w:r>
      <w:r>
        <w:rPr>
          <w:rFonts w:ascii="Times New Roman" w:hAnsi="Times New Roman" w:eastAsia="仿宋" w:cs="Times New Roman"/>
          <w:b/>
          <w:spacing w:val="-4"/>
          <w:sz w:val="24"/>
          <w:szCs w:val="24"/>
        </w:rPr>
        <w:t>XXXX</w:t>
      </w:r>
      <w:r>
        <w:rPr>
          <w:rFonts w:ascii="Times New Roman" w:hAnsi="Times New Roman" w:eastAsia="仿宋" w:cs="Times New Roman"/>
          <w:b/>
          <w:spacing w:val="-4"/>
          <w:sz w:val="24"/>
          <w:szCs w:val="24"/>
          <w:lang w:val="en-US"/>
        </w:rPr>
        <w:t xml:space="preserve">  </w:t>
      </w:r>
      <w:r>
        <w:rPr>
          <w:rFonts w:hint="eastAsia" w:ascii="Times New Roman" w:hAnsi="Times New Roman" w:eastAsia="仿宋" w:cs="Times New Roman"/>
          <w:b/>
          <w:spacing w:val="-4"/>
          <w:sz w:val="24"/>
          <w:szCs w:val="24"/>
        </w:rPr>
        <w:t>证券代码：</w:t>
      </w:r>
      <w:r>
        <w:rPr>
          <w:rFonts w:ascii="Times New Roman" w:hAnsi="Times New Roman" w:eastAsia="仿宋" w:cs="Times New Roman"/>
          <w:b/>
          <w:spacing w:val="-4"/>
          <w:sz w:val="24"/>
          <w:szCs w:val="24"/>
        </w:rPr>
        <w:t xml:space="preserve">XXXX   </w:t>
      </w:r>
      <w:r>
        <w:rPr>
          <w:rFonts w:hint="eastAsia" w:ascii="Times New Roman" w:hAnsi="Times New Roman" w:eastAsia="仿宋" w:cs="Times New Roman"/>
          <w:b/>
          <w:spacing w:val="-4"/>
          <w:sz w:val="24"/>
          <w:szCs w:val="24"/>
        </w:rPr>
        <w:t>独立财务顾问：</w:t>
      </w:r>
      <w:r>
        <w:rPr>
          <w:rFonts w:ascii="Times New Roman" w:hAnsi="Times New Roman" w:eastAsia="仿宋" w:cs="Times New Roman"/>
          <w:b/>
          <w:spacing w:val="-4"/>
          <w:sz w:val="24"/>
          <w:szCs w:val="24"/>
        </w:rPr>
        <w:t>XX</w:t>
      </w:r>
      <w:r>
        <w:rPr>
          <w:rFonts w:hint="eastAsia" w:ascii="Times New Roman" w:hAnsi="Times New Roman" w:eastAsia="仿宋" w:cs="Times New Roman"/>
          <w:b/>
          <w:spacing w:val="-4"/>
          <w:sz w:val="24"/>
          <w:szCs w:val="24"/>
        </w:rPr>
        <w:t>证券</w:t>
      </w:r>
      <w:r>
        <w:rPr>
          <w:rFonts w:ascii="Times New Roman" w:hAnsi="Times New Roman" w:eastAsia="仿宋" w:cs="Times New Roman"/>
          <w:b/>
          <w:spacing w:val="-4"/>
          <w:sz w:val="24"/>
          <w:szCs w:val="24"/>
        </w:rPr>
        <w:t xml:space="preserve">    </w:t>
      </w:r>
      <w:r>
        <w:rPr>
          <w:rFonts w:hint="eastAsia" w:ascii="Times New Roman" w:hAnsi="Times New Roman" w:eastAsia="仿宋" w:cs="Times New Roman"/>
          <w:b/>
          <w:spacing w:val="-4"/>
          <w:sz w:val="24"/>
          <w:szCs w:val="24"/>
        </w:rPr>
        <w:t>单位：股</w:t>
      </w:r>
    </w:p>
    <w:tbl>
      <w:tblPr>
        <w:tblStyle w:val="7"/>
        <w:tblW w:w="15699" w:type="dxa"/>
        <w:jc w:val="center"/>
        <w:tblLayout w:type="fixed"/>
        <w:tblCellMar>
          <w:top w:w="0" w:type="dxa"/>
          <w:left w:w="0" w:type="dxa"/>
          <w:bottom w:w="0" w:type="dxa"/>
          <w:right w:w="0" w:type="dxa"/>
        </w:tblCellMar>
      </w:tblPr>
      <w:tblGrid>
        <w:gridCol w:w="988"/>
        <w:gridCol w:w="1275"/>
        <w:gridCol w:w="1275"/>
        <w:gridCol w:w="3020"/>
        <w:gridCol w:w="2475"/>
        <w:gridCol w:w="1335"/>
        <w:gridCol w:w="1749"/>
        <w:gridCol w:w="1791"/>
        <w:gridCol w:w="1791"/>
      </w:tblGrid>
      <w:tr>
        <w:tblPrEx>
          <w:tblCellMar>
            <w:top w:w="0" w:type="dxa"/>
            <w:left w:w="0" w:type="dxa"/>
            <w:bottom w:w="0" w:type="dxa"/>
            <w:right w:w="0" w:type="dxa"/>
          </w:tblCellMar>
        </w:tblPrEx>
        <w:trPr>
          <w:trHeight w:val="340" w:hRule="atLeast"/>
          <w:jc w:val="center"/>
        </w:trPr>
        <w:tc>
          <w:tcPr>
            <w:tcW w:w="988" w:type="dxa"/>
            <w:tcBorders>
              <w:top w:val="single" w:color="000000" w:sz="4"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序号</w:t>
            </w:r>
          </w:p>
        </w:tc>
        <w:tc>
          <w:tcPr>
            <w:tcW w:w="1275" w:type="dxa"/>
            <w:tcBorders>
              <w:top w:val="single" w:color="000000" w:sz="4" w:space="0"/>
              <w:left w:val="single" w:color="000000" w:sz="2" w:space="0"/>
              <w:bottom w:val="single" w:color="000000" w:sz="2" w:space="0"/>
              <w:right w:val="single" w:color="000000" w:sz="2" w:space="0"/>
            </w:tcBorders>
            <w:vAlign w:val="center"/>
          </w:tcPr>
          <w:p>
            <w:pPr>
              <w:pStyle w:val="18"/>
              <w:spacing w:line="600" w:lineRule="exact"/>
              <w:rPr>
                <w:rFonts w:ascii="Times New Roman" w:hAnsi="Times New Roman" w:eastAsia="仿宋" w:cs="Times New Roman"/>
                <w:b/>
                <w:sz w:val="24"/>
                <w:szCs w:val="32"/>
                <w:lang w:val="en-US"/>
              </w:rPr>
            </w:pPr>
            <w:r>
              <w:rPr>
                <w:rFonts w:hint="eastAsia" w:ascii="Times New Roman" w:hAnsi="Times New Roman" w:eastAsia="仿宋" w:cs="Times New Roman"/>
                <w:b/>
                <w:sz w:val="24"/>
                <w:szCs w:val="32"/>
              </w:rPr>
              <w:t>股东姓名或名称</w:t>
            </w:r>
          </w:p>
        </w:tc>
        <w:tc>
          <w:tcPr>
            <w:tcW w:w="1275"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是否为董事、监事、高级管理人员</w:t>
            </w:r>
          </w:p>
        </w:tc>
        <w:tc>
          <w:tcPr>
            <w:tcW w:w="3020"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身份证号或统一社会信用代码</w:t>
            </w:r>
          </w:p>
        </w:tc>
        <w:tc>
          <w:tcPr>
            <w:tcW w:w="2475"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投资者类型（基础层投资者／创新层投资者</w:t>
            </w:r>
            <w:r>
              <w:rPr>
                <w:rFonts w:ascii="Times New Roman" w:hAnsi="Times New Roman" w:eastAsia="仿宋" w:cs="Times New Roman"/>
                <w:b/>
                <w:sz w:val="24"/>
                <w:szCs w:val="32"/>
              </w:rPr>
              <w:t>／受限投资者）</w:t>
            </w:r>
          </w:p>
        </w:tc>
        <w:tc>
          <w:tcPr>
            <w:tcW w:w="1335" w:type="dxa"/>
            <w:tcBorders>
              <w:top w:val="single" w:color="000000" w:sz="4" w:space="0"/>
              <w:left w:val="single" w:color="000000" w:sz="2" w:space="0"/>
              <w:bottom w:val="single" w:color="000000" w:sz="2" w:space="0"/>
              <w:right w:val="single" w:color="000000" w:sz="2" w:space="0"/>
            </w:tcBorders>
            <w:shd w:val="clear" w:color="auto" w:fill="auto"/>
            <w:tcMar>
              <w:top w:w="57" w:type="dxa"/>
              <w:left w:w="57" w:type="dxa"/>
              <w:bottom w:w="57" w:type="dxa"/>
              <w:right w:w="57" w:type="dxa"/>
            </w:tcMar>
            <w:vAlign w:val="center"/>
          </w:tcPr>
          <w:p>
            <w:pPr>
              <w:pStyle w:val="21"/>
              <w:spacing w:line="600" w:lineRule="exact"/>
              <w:jc w:val="center"/>
              <w:textAlignment w:val="auto"/>
              <w:rPr>
                <w:rFonts w:ascii="Times New Roman" w:hAnsi="Times New Roman" w:eastAsia="仿宋" w:cs="Times New Roman"/>
                <w:b/>
                <w:szCs w:val="32"/>
              </w:rPr>
            </w:pPr>
            <w:r>
              <w:rPr>
                <w:rFonts w:hint="eastAsia" w:ascii="Times New Roman" w:hAnsi="Times New Roman" w:eastAsia="仿宋" w:cs="Times New Roman"/>
                <w:b/>
                <w:szCs w:val="32"/>
              </w:rPr>
              <w:t>是否为做市</w:t>
            </w:r>
          </w:p>
          <w:p>
            <w:pPr>
              <w:pStyle w:val="21"/>
              <w:spacing w:line="600" w:lineRule="exact"/>
              <w:jc w:val="center"/>
              <w:textAlignment w:val="auto"/>
              <w:rPr>
                <w:rFonts w:ascii="Times New Roman" w:hAnsi="Times New Roman" w:eastAsia="仿宋" w:cs="Times New Roman"/>
                <w:color w:val="auto"/>
                <w:szCs w:val="32"/>
                <w:lang w:val="en-US"/>
              </w:rPr>
            </w:pPr>
            <w:r>
              <w:rPr>
                <w:rFonts w:hint="eastAsia" w:ascii="Times New Roman" w:hAnsi="Times New Roman" w:eastAsia="仿宋" w:cs="Times New Roman"/>
                <w:b/>
                <w:szCs w:val="32"/>
              </w:rPr>
              <w:t>股份</w:t>
            </w:r>
          </w:p>
        </w:tc>
        <w:tc>
          <w:tcPr>
            <w:tcW w:w="1749"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本次发行股份数量（股）</w:t>
            </w:r>
          </w:p>
        </w:tc>
        <w:tc>
          <w:tcPr>
            <w:tcW w:w="1791"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限售的股份</w:t>
            </w:r>
          </w:p>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数量（股）</w:t>
            </w:r>
          </w:p>
        </w:tc>
        <w:tc>
          <w:tcPr>
            <w:tcW w:w="1791"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不予限售的</w:t>
            </w:r>
          </w:p>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股份数量（股）</w:t>
            </w:r>
          </w:p>
        </w:tc>
      </w:tr>
      <w:tr>
        <w:tblPrEx>
          <w:tblCellMar>
            <w:top w:w="0" w:type="dxa"/>
            <w:left w:w="0" w:type="dxa"/>
            <w:bottom w:w="0" w:type="dxa"/>
            <w:right w:w="0" w:type="dxa"/>
          </w:tblCellMar>
        </w:tblPrEx>
        <w:trPr>
          <w:trHeight w:val="292"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Cs/>
                <w:sz w:val="24"/>
                <w:szCs w:val="32"/>
              </w:rPr>
            </w:pPr>
            <w:r>
              <w:rPr>
                <w:rFonts w:ascii="Times New Roman" w:hAnsi="Times New Roman" w:eastAsia="仿宋" w:cs="Times New Roman"/>
                <w:bCs/>
                <w:sz w:val="24"/>
                <w:szCs w:val="32"/>
              </w:rPr>
              <w:t>1</w:t>
            </w:r>
          </w:p>
        </w:tc>
        <w:tc>
          <w:tcPr>
            <w:tcW w:w="1275" w:type="dxa"/>
            <w:tcBorders>
              <w:top w:val="single" w:color="000000" w:sz="2" w:space="0"/>
              <w:left w:val="single" w:color="000000" w:sz="2" w:space="0"/>
              <w:bottom w:val="single" w:color="000000" w:sz="2" w:space="0"/>
              <w:right w:val="single" w:color="000000" w:sz="2" w:space="0"/>
            </w:tcBorders>
          </w:tcPr>
          <w:p>
            <w:pPr>
              <w:pStyle w:val="21"/>
              <w:spacing w:line="600" w:lineRule="exact"/>
              <w:jc w:val="left"/>
              <w:textAlignment w:val="auto"/>
              <w:rPr>
                <w:rFonts w:ascii="Times New Roman" w:hAnsi="Times New Roman" w:eastAsia="仿宋" w:cs="Times New Roman"/>
                <w:color w:val="auto"/>
                <w:szCs w:val="32"/>
                <w:lang w:val="en-US"/>
              </w:rPr>
            </w:pP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3020"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24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335" w:type="dxa"/>
            <w:tcBorders>
              <w:top w:val="single" w:color="000000" w:sz="2" w:space="0"/>
              <w:left w:val="single" w:color="000000" w:sz="2" w:space="0"/>
              <w:bottom w:val="single" w:color="000000" w:sz="2" w:space="0"/>
              <w:right w:val="single" w:color="000000" w:sz="2" w:space="0"/>
            </w:tcBorders>
            <w:shd w:val="clear" w:color="auto" w:fill="auto"/>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49"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r>
      <w:tr>
        <w:tblPrEx>
          <w:tblCellMar>
            <w:top w:w="0" w:type="dxa"/>
            <w:left w:w="0" w:type="dxa"/>
            <w:bottom w:w="0" w:type="dxa"/>
            <w:right w:w="0" w:type="dxa"/>
          </w:tblCellMar>
        </w:tblPrEx>
        <w:trPr>
          <w:trHeight w:val="340"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Cs/>
                <w:sz w:val="24"/>
                <w:szCs w:val="32"/>
              </w:rPr>
            </w:pPr>
            <w:r>
              <w:rPr>
                <w:rFonts w:ascii="Times New Roman" w:hAnsi="Times New Roman" w:eastAsia="仿宋" w:cs="Times New Roman"/>
                <w:bCs/>
                <w:sz w:val="24"/>
                <w:szCs w:val="32"/>
              </w:rPr>
              <w:t>2</w:t>
            </w:r>
          </w:p>
        </w:tc>
        <w:tc>
          <w:tcPr>
            <w:tcW w:w="1275" w:type="dxa"/>
            <w:tcBorders>
              <w:top w:val="single" w:color="000000" w:sz="2" w:space="0"/>
              <w:left w:val="single" w:color="000000" w:sz="2" w:space="0"/>
              <w:bottom w:val="single" w:color="000000" w:sz="2" w:space="0"/>
              <w:right w:val="single" w:color="000000" w:sz="2" w:space="0"/>
            </w:tcBorders>
          </w:tcPr>
          <w:p>
            <w:pPr>
              <w:pStyle w:val="21"/>
              <w:spacing w:line="600" w:lineRule="exact"/>
              <w:jc w:val="left"/>
              <w:textAlignment w:val="auto"/>
              <w:rPr>
                <w:rFonts w:ascii="Times New Roman" w:hAnsi="Times New Roman" w:eastAsia="仿宋" w:cs="Times New Roman"/>
                <w:color w:val="auto"/>
                <w:szCs w:val="32"/>
                <w:lang w:val="en-US"/>
              </w:rPr>
            </w:pP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3020"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24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335" w:type="dxa"/>
            <w:tcBorders>
              <w:top w:val="single" w:color="000000" w:sz="2" w:space="0"/>
              <w:left w:val="single" w:color="000000" w:sz="2" w:space="0"/>
              <w:bottom w:val="single" w:color="000000" w:sz="2" w:space="0"/>
              <w:right w:val="single" w:color="000000" w:sz="2" w:space="0"/>
            </w:tcBorders>
            <w:shd w:val="clear" w:color="auto" w:fill="auto"/>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49"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r>
      <w:tr>
        <w:tblPrEx>
          <w:tblCellMar>
            <w:top w:w="0" w:type="dxa"/>
            <w:left w:w="0" w:type="dxa"/>
            <w:bottom w:w="0" w:type="dxa"/>
            <w:right w:w="0" w:type="dxa"/>
          </w:tblCellMar>
        </w:tblPrEx>
        <w:trPr>
          <w:trHeight w:val="270" w:hRule="atLeast"/>
          <w:jc w:val="center"/>
        </w:trPr>
        <w:tc>
          <w:tcPr>
            <w:tcW w:w="10368" w:type="dxa"/>
            <w:gridSpan w:val="6"/>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1"/>
              <w:spacing w:line="600" w:lineRule="exact"/>
              <w:jc w:val="center"/>
              <w:textAlignment w:val="auto"/>
              <w:rPr>
                <w:rFonts w:ascii="Times New Roman" w:hAnsi="Times New Roman" w:eastAsia="仿宋" w:cs="Times New Roman"/>
                <w:color w:val="auto"/>
                <w:szCs w:val="32"/>
                <w:lang w:val="en-US"/>
              </w:rPr>
            </w:pPr>
            <w:r>
              <w:rPr>
                <w:rFonts w:hint="eastAsia" w:ascii="Times New Roman" w:hAnsi="Times New Roman" w:eastAsia="仿宋" w:cs="Times New Roman"/>
                <w:b/>
                <w:szCs w:val="32"/>
              </w:rPr>
              <w:t>合计</w:t>
            </w:r>
          </w:p>
        </w:tc>
        <w:tc>
          <w:tcPr>
            <w:tcW w:w="1749"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r>
    </w:tbl>
    <w:p>
      <w:pPr>
        <w:spacing w:line="600" w:lineRule="exact"/>
        <w:rPr>
          <w:rFonts w:ascii="Times New Roman" w:hAnsi="Times New Roman" w:eastAsia="方正仿宋简体" w:cs="Times New Roman"/>
          <w:sz w:val="28"/>
          <w:szCs w:val="32"/>
        </w:rPr>
      </w:pPr>
    </w:p>
    <w:p>
      <w:pPr>
        <w:tabs>
          <w:tab w:val="left" w:pos="1820"/>
        </w:tabs>
        <w:spacing w:line="600" w:lineRule="exact"/>
        <w:textAlignment w:val="baseline"/>
        <w:rPr>
          <w:rFonts w:ascii="Times New Roman" w:hAnsi="Times New Roman" w:eastAsia="仿宋" w:cs="Times New Roman"/>
          <w:kern w:val="0"/>
          <w:sz w:val="28"/>
          <w:szCs w:val="32"/>
        </w:rPr>
        <w:sectPr>
          <w:pgSz w:w="16838" w:h="11906" w:orient="landscape"/>
          <w:pgMar w:top="1797" w:right="1440" w:bottom="1797" w:left="1440" w:header="851" w:footer="992" w:gutter="0"/>
          <w:pgNumType w:fmt="numberInDash"/>
          <w:cols w:space="0" w:num="1"/>
          <w:docGrid w:type="linesAndChars" w:linePitch="319" w:charSpace="0"/>
        </w:sectPr>
      </w:pPr>
    </w:p>
    <w:p>
      <w:pPr>
        <w:tabs>
          <w:tab w:val="left" w:pos="1820"/>
        </w:tabs>
        <w:spacing w:line="600" w:lineRule="exact"/>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附件5</w:t>
      </w:r>
    </w:p>
    <w:p>
      <w:pPr>
        <w:tabs>
          <w:tab w:val="left" w:pos="1820"/>
        </w:tabs>
        <w:spacing w:line="600" w:lineRule="exact"/>
        <w:textAlignment w:val="baseline"/>
        <w:rPr>
          <w:rFonts w:ascii="Times New Roman" w:hAnsi="Times New Roman" w:eastAsia="黑体" w:cs="Times New Roman"/>
          <w:kern w:val="0"/>
          <w:sz w:val="32"/>
          <w:szCs w:val="32"/>
        </w:rPr>
      </w:pP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XXXX股份（有限）公司及相关股东关于</w:t>
      </w: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提请协助办理限售股票登记的申请书</w:t>
      </w:r>
    </w:p>
    <w:p>
      <w:pPr>
        <w:tabs>
          <w:tab w:val="left" w:pos="1820"/>
        </w:tabs>
        <w:spacing w:line="600" w:lineRule="exact"/>
        <w:textAlignment w:val="baseline"/>
        <w:rPr>
          <w:rFonts w:ascii="Times New Roman" w:hAnsi="Times New Roman" w:eastAsia="方正大标宋简体" w:cs="Times New Roman"/>
          <w:kern w:val="0"/>
          <w:sz w:val="42"/>
          <w:szCs w:val="42"/>
        </w:rPr>
      </w:pP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pacing w:line="600" w:lineRule="exact"/>
        <w:ind w:firstLine="646"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股份（有限）公司（公司简称：</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；证券代码：</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等</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名股东自愿锁定其持有</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股份（有限）公司的股票（具体锁定股票数量和锁定时间详见附表），经与</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股份（有限）公司协商一致，现向全国中小企业股份转让系统有限责任公司申请协助办理限售股票登记，以便于在中国证券登记结算有限责任公司办理上述限售股票登记手续。</w:t>
      </w:r>
    </w:p>
    <w:p>
      <w:pPr>
        <w:autoSpaceDE w:val="0"/>
        <w:autoSpaceDN w:val="0"/>
        <w:adjustRightInd w:val="0"/>
        <w:spacing w:line="600" w:lineRule="exact"/>
        <w:ind w:firstLine="646"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right="320" w:firstLine="491"/>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申请人：</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w:t>
      </w:r>
      <w:r>
        <w:rPr>
          <w:rFonts w:hint="eastAsia" w:ascii="Times New Roman" w:hAnsi="Times New Roman" w:eastAsia="仿宋" w:cs="Times New Roman"/>
          <w:color w:val="000000"/>
          <w:kern w:val="0"/>
          <w:sz w:val="32"/>
          <w:szCs w:val="32"/>
        </w:rPr>
        <w:t>加盖公章</w:t>
      </w:r>
      <w:r>
        <w:rPr>
          <w:rFonts w:hint="eastAsia" w:ascii="Times New Roman" w:hAnsi="Times New Roman" w:eastAsia="仿宋" w:cs="Times New Roman"/>
          <w:color w:val="000000"/>
          <w:kern w:val="0"/>
          <w:sz w:val="32"/>
          <w:szCs w:val="32"/>
          <w:lang w:val="zh-CN"/>
        </w:rPr>
        <w:t>）</w:t>
      </w:r>
      <w:r>
        <w:rPr>
          <w:rFonts w:ascii="Times New Roman" w:hAnsi="Times New Roman" w:eastAsia="仿宋" w:cs="Times New Roman"/>
          <w:color w:val="000000"/>
          <w:kern w:val="0"/>
          <w:sz w:val="32"/>
          <w:szCs w:val="32"/>
          <w:lang w:val="zh-CN"/>
        </w:rPr>
        <w:t xml:space="preserve"> </w:t>
      </w:r>
    </w:p>
    <w:p>
      <w:pPr>
        <w:autoSpaceDE w:val="0"/>
        <w:autoSpaceDN w:val="0"/>
        <w:adjustRightInd w:val="0"/>
        <w:spacing w:line="600" w:lineRule="exact"/>
        <w:ind w:right="320" w:firstLine="491"/>
        <w:jc w:val="right"/>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right="320"/>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股东</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（自然人签字、</w:t>
      </w:r>
      <w:r>
        <w:rPr>
          <w:rFonts w:hint="eastAsia" w:ascii="Times New Roman" w:hAnsi="Times New Roman" w:eastAsia="仿宋" w:cs="Times New Roman"/>
          <w:sz w:val="32"/>
          <w:szCs w:val="32"/>
        </w:rPr>
        <w:t>法人及其他经济组织盖章</w:t>
      </w:r>
      <w:r>
        <w:rPr>
          <w:rFonts w:hint="eastAsia" w:ascii="Times New Roman" w:hAnsi="Times New Roman" w:eastAsia="仿宋" w:cs="Times New Roman"/>
          <w:color w:val="000000"/>
          <w:kern w:val="0"/>
          <w:sz w:val="32"/>
          <w:szCs w:val="32"/>
          <w:lang w:val="zh-CN"/>
        </w:rPr>
        <w:t>）</w:t>
      </w:r>
    </w:p>
    <w:p>
      <w:pPr>
        <w:autoSpaceDE w:val="0"/>
        <w:autoSpaceDN w:val="0"/>
        <w:adjustRightInd w:val="0"/>
        <w:spacing w:line="600" w:lineRule="exact"/>
        <w:ind w:right="640"/>
        <w:jc w:val="right"/>
        <w:textAlignment w:val="center"/>
        <w:rPr>
          <w:rFonts w:ascii="Times New Roman" w:hAnsi="Times New Roman" w:eastAsia="仿宋" w:cs="Times New Roman"/>
          <w:color w:val="000000"/>
          <w:kern w:val="0"/>
          <w:sz w:val="32"/>
          <w:szCs w:val="32"/>
          <w:lang w:val="zh-CN"/>
        </w:rPr>
        <w:sectPr>
          <w:pgSz w:w="11906" w:h="16838"/>
          <w:pgMar w:top="1440" w:right="1797" w:bottom="1440" w:left="1797" w:header="851" w:footer="992" w:gutter="0"/>
          <w:pgNumType w:fmt="numberInDash"/>
          <w:cols w:space="0" w:num="1"/>
          <w:docGrid w:type="linesAndChars" w:linePitch="319" w:charSpace="640"/>
        </w:sectPr>
      </w:pP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lang w:val="zh-CN"/>
        </w:rPr>
        <w:t>日</w:t>
      </w:r>
    </w:p>
    <w:p>
      <w:pPr>
        <w:spacing w:line="600" w:lineRule="exact"/>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附表</w:t>
      </w:r>
    </w:p>
    <w:p>
      <w:pPr>
        <w:spacing w:line="600" w:lineRule="exact"/>
        <w:outlineLvl w:val="1"/>
        <w:rPr>
          <w:rFonts w:ascii="Times New Roman" w:hAnsi="Times New Roman" w:eastAsia="黑体" w:cs="Times New Roman"/>
          <w:sz w:val="32"/>
          <w:szCs w:val="32"/>
          <w:lang w:val="zh-CN"/>
        </w:rPr>
      </w:pPr>
    </w:p>
    <w:p>
      <w:pPr>
        <w:autoSpaceDE w:val="0"/>
        <w:autoSpaceDN w:val="0"/>
        <w:adjustRightInd w:val="0"/>
        <w:spacing w:line="600" w:lineRule="exact"/>
        <w:ind w:firstLine="491"/>
        <w:jc w:val="center"/>
        <w:textAlignment w:val="center"/>
        <w:rPr>
          <w:rFonts w:ascii="方正大标宋简体" w:hAnsi="方正大标宋简体" w:eastAsia="方正大标宋简体" w:cs="方正大标宋简体"/>
          <w:color w:val="000000"/>
          <w:kern w:val="0"/>
          <w:sz w:val="42"/>
          <w:szCs w:val="42"/>
          <w:lang w:val="zh-CN"/>
        </w:rPr>
      </w:pPr>
      <w:r>
        <w:rPr>
          <w:rFonts w:hint="eastAsia" w:ascii="方正大标宋简体" w:hAnsi="方正大标宋简体" w:eastAsia="方正大标宋简体" w:cs="方正大标宋简体"/>
          <w:color w:val="000000"/>
          <w:kern w:val="0"/>
          <w:sz w:val="42"/>
          <w:szCs w:val="42"/>
          <w:lang w:val="zh-CN"/>
        </w:rPr>
        <w:t>公司股东所持股票限售明细表</w:t>
      </w:r>
    </w:p>
    <w:p>
      <w:pPr>
        <w:pStyle w:val="17"/>
        <w:spacing w:line="600" w:lineRule="exact"/>
        <w:rPr>
          <w:rFonts w:ascii="Times New Roman" w:hAnsi="Times New Roman" w:eastAsia="仿宋" w:cs="Times New Roman"/>
          <w:b/>
          <w:spacing w:val="-4"/>
          <w:sz w:val="24"/>
          <w:szCs w:val="24"/>
        </w:rPr>
      </w:pPr>
      <w:r>
        <w:rPr>
          <w:rFonts w:hint="eastAsia" w:ascii="Times New Roman" w:hAnsi="Times New Roman" w:eastAsia="仿宋" w:cs="Times New Roman"/>
          <w:b/>
          <w:spacing w:val="-4"/>
          <w:sz w:val="24"/>
          <w:szCs w:val="24"/>
        </w:rPr>
        <w:t xml:space="preserve">公司全称：XXXX股份（有限）公司（盖章）    证券简称：XXXX    证券代码：XXXX    </w:t>
      </w:r>
    </w:p>
    <w:tbl>
      <w:tblPr>
        <w:tblStyle w:val="7"/>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56"/>
        <w:gridCol w:w="851"/>
        <w:gridCol w:w="1157"/>
        <w:gridCol w:w="1394"/>
        <w:gridCol w:w="1276"/>
        <w:gridCol w:w="1559"/>
        <w:gridCol w:w="966"/>
        <w:gridCol w:w="1009"/>
        <w:gridCol w:w="1023"/>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0"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序号</w:t>
            </w:r>
          </w:p>
        </w:tc>
        <w:tc>
          <w:tcPr>
            <w:tcW w:w="856"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股东名称</w:t>
            </w:r>
          </w:p>
        </w:tc>
        <w:tc>
          <w:tcPr>
            <w:tcW w:w="851"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任职</w:t>
            </w:r>
          </w:p>
        </w:tc>
        <w:tc>
          <w:tcPr>
            <w:tcW w:w="1157"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是否为控股股东、实际控制人</w:t>
            </w:r>
          </w:p>
        </w:tc>
        <w:tc>
          <w:tcPr>
            <w:tcW w:w="1394"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身份证号或统一社会信用代码</w:t>
            </w:r>
          </w:p>
        </w:tc>
        <w:tc>
          <w:tcPr>
            <w:tcW w:w="1276"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本次发行新增的股票数量（股）</w:t>
            </w:r>
          </w:p>
        </w:tc>
        <w:tc>
          <w:tcPr>
            <w:tcW w:w="1559"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本次发行新增的无限售股票数量</w:t>
            </w:r>
          </w:p>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（股）</w:t>
            </w:r>
          </w:p>
        </w:tc>
        <w:tc>
          <w:tcPr>
            <w:tcW w:w="2998" w:type="dxa"/>
            <w:gridSpan w:val="3"/>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本次申请限售登记</w:t>
            </w:r>
          </w:p>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股票数量（股）</w:t>
            </w:r>
          </w:p>
        </w:tc>
        <w:tc>
          <w:tcPr>
            <w:tcW w:w="1397" w:type="dxa"/>
            <w:vMerge w:val="restart"/>
            <w:vAlign w:val="center"/>
          </w:tcPr>
          <w:p>
            <w:pPr>
              <w:spacing w:line="600" w:lineRule="exact"/>
              <w:jc w:val="center"/>
              <w:rPr>
                <w:rFonts w:ascii="Times New Roman" w:hAnsi="Times New Roman" w:eastAsia="仿宋" w:cs="Times New Roman"/>
                <w:b/>
                <w:bCs/>
                <w:color w:val="000000"/>
                <w:kern w:val="0"/>
                <w:sz w:val="24"/>
                <w:szCs w:val="32"/>
              </w:rPr>
            </w:pPr>
          </w:p>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自愿限售</w:t>
            </w:r>
          </w:p>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股票时间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40"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856"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851"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1157"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1394"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1276"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1559"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966" w:type="dxa"/>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法定限售数量</w:t>
            </w:r>
          </w:p>
        </w:tc>
        <w:tc>
          <w:tcPr>
            <w:tcW w:w="1009" w:type="dxa"/>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自愿限售数量</w:t>
            </w:r>
          </w:p>
        </w:tc>
        <w:tc>
          <w:tcPr>
            <w:tcW w:w="1023" w:type="dxa"/>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限售数量合计</w:t>
            </w:r>
          </w:p>
        </w:tc>
        <w:tc>
          <w:tcPr>
            <w:tcW w:w="1397"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40" w:type="dxa"/>
            <w:vAlign w:val="center"/>
          </w:tcPr>
          <w:p>
            <w:pPr>
              <w:spacing w:line="600" w:lineRule="exact"/>
              <w:jc w:val="center"/>
              <w:rPr>
                <w:rFonts w:ascii="Times New Roman" w:hAnsi="Times New Roman" w:eastAsia="仿宋" w:cs="Times New Roman"/>
                <w:color w:val="000000"/>
                <w:kern w:val="0"/>
                <w:sz w:val="24"/>
                <w:szCs w:val="32"/>
              </w:rPr>
            </w:pPr>
            <w:r>
              <w:rPr>
                <w:rFonts w:ascii="Times New Roman" w:hAnsi="Times New Roman" w:eastAsia="仿宋" w:cs="Times New Roman"/>
                <w:color w:val="000000"/>
                <w:kern w:val="0"/>
                <w:sz w:val="24"/>
                <w:szCs w:val="32"/>
              </w:rPr>
              <w:t>1</w:t>
            </w:r>
          </w:p>
        </w:tc>
        <w:tc>
          <w:tcPr>
            <w:tcW w:w="85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851"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157"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4"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27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55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96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0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23"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7" w:type="dxa"/>
            <w:vAlign w:val="center"/>
          </w:tcPr>
          <w:p>
            <w:pPr>
              <w:spacing w:line="600" w:lineRule="exact"/>
              <w:jc w:val="center"/>
              <w:rPr>
                <w:rFonts w:ascii="Times New Roman" w:hAnsi="Times New Roman" w:eastAsia="仿宋" w:cs="Times New Roman"/>
                <w:b/>
                <w:bCs/>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40" w:type="dxa"/>
            <w:vAlign w:val="center"/>
          </w:tcPr>
          <w:p>
            <w:pPr>
              <w:spacing w:line="600" w:lineRule="exact"/>
              <w:jc w:val="center"/>
              <w:rPr>
                <w:rFonts w:ascii="Times New Roman" w:hAnsi="Times New Roman" w:eastAsia="仿宋" w:cs="Times New Roman"/>
                <w:color w:val="000000"/>
                <w:kern w:val="0"/>
                <w:sz w:val="24"/>
                <w:szCs w:val="32"/>
              </w:rPr>
            </w:pPr>
            <w:r>
              <w:rPr>
                <w:rFonts w:ascii="Times New Roman" w:hAnsi="Times New Roman" w:eastAsia="仿宋" w:cs="Times New Roman"/>
                <w:color w:val="000000"/>
                <w:kern w:val="0"/>
                <w:sz w:val="24"/>
                <w:szCs w:val="32"/>
              </w:rPr>
              <w:t>2</w:t>
            </w:r>
          </w:p>
        </w:tc>
        <w:tc>
          <w:tcPr>
            <w:tcW w:w="85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851"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157"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4"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27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55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96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0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23"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7" w:type="dxa"/>
            <w:vAlign w:val="center"/>
          </w:tcPr>
          <w:p>
            <w:pPr>
              <w:spacing w:line="600" w:lineRule="exact"/>
              <w:jc w:val="center"/>
              <w:rPr>
                <w:rFonts w:ascii="Times New Roman" w:hAnsi="Times New Roman" w:eastAsia="仿宋" w:cs="Times New Roman"/>
                <w:b/>
                <w:bCs/>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98" w:type="dxa"/>
            <w:gridSpan w:val="5"/>
            <w:vAlign w:val="center"/>
          </w:tcPr>
          <w:p>
            <w:pPr>
              <w:spacing w:line="600" w:lineRule="exact"/>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合计</w:t>
            </w:r>
          </w:p>
        </w:tc>
        <w:tc>
          <w:tcPr>
            <w:tcW w:w="127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55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96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0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23"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7" w:type="dxa"/>
            <w:vAlign w:val="center"/>
          </w:tcPr>
          <w:p>
            <w:pPr>
              <w:spacing w:line="600" w:lineRule="exact"/>
              <w:jc w:val="center"/>
              <w:rPr>
                <w:rFonts w:ascii="Times New Roman" w:hAnsi="Times New Roman" w:eastAsia="仿宋" w:cs="Times New Roman"/>
                <w:b/>
                <w:bCs/>
                <w:color w:val="000000"/>
                <w:kern w:val="0"/>
                <w:sz w:val="24"/>
                <w:szCs w:val="32"/>
              </w:rPr>
            </w:pPr>
          </w:p>
        </w:tc>
      </w:tr>
    </w:tbl>
    <w:p>
      <w:pPr>
        <w:tabs>
          <w:tab w:val="left" w:pos="1820"/>
        </w:tabs>
        <w:spacing w:line="600" w:lineRule="exact"/>
        <w:textAlignment w:val="baseline"/>
        <w:rPr>
          <w:rFonts w:ascii="Times New Roman" w:hAnsi="Times New Roman" w:eastAsia="方正大标宋简体" w:cs="Times New Roman"/>
          <w:kern w:val="0"/>
          <w:sz w:val="42"/>
          <w:szCs w:val="42"/>
        </w:rPr>
        <w:sectPr>
          <w:pgSz w:w="16838" w:h="11905" w:orient="landscape"/>
          <w:pgMar w:top="1797" w:right="1440" w:bottom="1797" w:left="1440" w:header="851" w:footer="992" w:gutter="0"/>
          <w:pgNumType w:fmt="numberInDash"/>
          <w:cols w:space="0" w:num="1"/>
          <w:docGrid w:type="linesAndChars" w:linePitch="319" w:charSpace="640"/>
        </w:sectPr>
      </w:pPr>
    </w:p>
    <w:p>
      <w:pPr>
        <w:tabs>
          <w:tab w:val="left" w:pos="1820"/>
        </w:tabs>
        <w:spacing w:line="600" w:lineRule="exact"/>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rPr>
        <w:t>6</w:t>
      </w:r>
    </w:p>
    <w:p>
      <w:pPr>
        <w:spacing w:line="600" w:lineRule="exact"/>
        <w:jc w:val="center"/>
        <w:rPr>
          <w:rFonts w:ascii="Times New Roman" w:hAnsi="Times New Roman" w:eastAsia="方正大标宋简体" w:cs="Times New Roman"/>
          <w:kern w:val="0"/>
          <w:sz w:val="42"/>
          <w:szCs w:val="42"/>
        </w:rPr>
      </w:pPr>
    </w:p>
    <w:p>
      <w:pPr>
        <w:spacing w:line="600" w:lineRule="exact"/>
        <w:jc w:val="center"/>
        <w:outlineLvl w:val="1"/>
        <w:rPr>
          <w:rFonts w:ascii="方正大标宋简体" w:hAnsi="方正大标宋简体" w:eastAsia="方正大标宋简体" w:cs="方正大标宋简体"/>
          <w:color w:val="000000"/>
          <w:kern w:val="0"/>
          <w:sz w:val="42"/>
          <w:szCs w:val="42"/>
          <w:lang w:val="zh-CN"/>
        </w:rPr>
      </w:pPr>
      <w:r>
        <w:rPr>
          <w:rFonts w:hint="eastAsia" w:ascii="方正大标宋简体" w:hAnsi="方正大标宋简体" w:eastAsia="方正大标宋简体" w:cs="方正大标宋简体"/>
          <w:color w:val="000000"/>
          <w:kern w:val="0"/>
          <w:sz w:val="42"/>
          <w:szCs w:val="42"/>
          <w:lang w:val="zh-CN"/>
        </w:rPr>
        <w:t>发行股份购买资产重大事项确认函</w:t>
      </w:r>
    </w:p>
    <w:p>
      <w:pPr>
        <w:spacing w:line="600" w:lineRule="exact"/>
        <w:ind w:firstLine="570"/>
        <w:jc w:val="center"/>
        <w:rPr>
          <w:rFonts w:ascii="Times New Roman" w:hAnsi="Times New Roman" w:eastAsia="仿宋" w:cs="Times New Roman"/>
          <w:b/>
          <w:sz w:val="28"/>
          <w:szCs w:val="30"/>
        </w:rPr>
      </w:pP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由我司推荐的</w:t>
      </w:r>
      <w:r>
        <w:rPr>
          <w:rFonts w:ascii="Times New Roman" w:hAnsi="Times New Roman" w:eastAsia="仿宋" w:cs="Times New Roman"/>
          <w:color w:val="000000"/>
          <w:kern w:val="0"/>
          <w:sz w:val="32"/>
          <w:szCs w:val="32"/>
          <w:lang w:val="zh-CN"/>
        </w:rPr>
        <w:t>______</w:t>
      </w:r>
      <w:r>
        <w:rPr>
          <w:rFonts w:hint="eastAsia" w:ascii="Times New Roman" w:hAnsi="Times New Roman" w:eastAsia="仿宋" w:cs="Times New Roman"/>
          <w:color w:val="000000"/>
          <w:kern w:val="0"/>
          <w:sz w:val="32"/>
          <w:szCs w:val="32"/>
          <w:lang w:val="zh-CN"/>
        </w:rPr>
        <w:t>公司发行股份购买资产申请已经全国中小企业股份转让系统有限责任公司审核通过</w:t>
      </w:r>
      <w:r>
        <w:rPr>
          <w:rFonts w:ascii="Times New Roman" w:hAnsi="Times New Roman" w:eastAsia="仿宋" w:cs="Times New Roman"/>
          <w:color w:val="000000"/>
          <w:kern w:val="0"/>
          <w:sz w:val="32"/>
          <w:szCs w:val="32"/>
          <w:lang w:val="zh-CN"/>
        </w:rPr>
        <w:t>/</w:t>
      </w:r>
      <w:r>
        <w:rPr>
          <w:rFonts w:hint="eastAsia" w:ascii="Times New Roman" w:hAnsi="Times New Roman" w:eastAsia="仿宋" w:cs="Times New Roman"/>
          <w:color w:val="000000"/>
          <w:kern w:val="0"/>
          <w:sz w:val="32"/>
          <w:szCs w:val="32"/>
          <w:lang w:val="zh-CN"/>
        </w:rPr>
        <w:t>中国证监会注册，取得了同意发行股份购买资产的函</w:t>
      </w:r>
      <w:r>
        <w:rPr>
          <w:rFonts w:ascii="Times New Roman" w:hAnsi="Times New Roman" w:eastAsia="仿宋" w:cs="Times New Roman"/>
          <w:color w:val="000000"/>
          <w:kern w:val="0"/>
          <w:sz w:val="32"/>
          <w:szCs w:val="32"/>
          <w:lang w:val="zh-CN"/>
        </w:rPr>
        <w:t>/</w:t>
      </w:r>
      <w:r>
        <w:rPr>
          <w:rFonts w:hint="eastAsia" w:ascii="Times New Roman" w:hAnsi="Times New Roman" w:eastAsia="仿宋" w:cs="Times New Roman"/>
          <w:color w:val="000000"/>
          <w:kern w:val="0"/>
          <w:sz w:val="32"/>
          <w:szCs w:val="32"/>
          <w:lang w:val="zh-CN"/>
        </w:rPr>
        <w:t>同意注册的决定，且该公司已按规定完成了资产过户，现申请新增股票登记。</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截至该确认函提交之日，我司确认：</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1</w:t>
      </w:r>
      <w:r>
        <w:rPr>
          <w:rFonts w:hint="eastAsia" w:ascii="Times New Roman" w:hAnsi="Times New Roman" w:eastAsia="仿宋"/>
          <w:color w:val="000000"/>
          <w:sz w:val="32"/>
          <w:szCs w:val="30"/>
        </w:rPr>
        <w:t>．</w:t>
      </w:r>
      <w:r>
        <w:rPr>
          <w:rFonts w:hint="eastAsia" w:ascii="Times New Roman" w:hAnsi="Times New Roman" w:eastAsia="仿宋" w:cs="Times New Roman"/>
          <w:color w:val="000000"/>
          <w:kern w:val="0"/>
          <w:sz w:val="32"/>
          <w:szCs w:val="32"/>
          <w:lang w:val="zh-CN"/>
        </w:rPr>
        <w:t>该公司及发行对象符合《公司法》《非上市公众公司重大资产重组管理办法》《全国中小企业股份转让系统非上市公众公司重大资产重组业务细则》等法律法规、部门规章和业务规则关于发行股份购买资产的相关规定。</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rPr>
        <w:t>2</w:t>
      </w:r>
      <w:r>
        <w:rPr>
          <w:rFonts w:hint="eastAsia" w:ascii="Times New Roman" w:hAnsi="Times New Roman" w:eastAsia="仿宋"/>
          <w:color w:val="000000"/>
          <w:sz w:val="32"/>
          <w:szCs w:val="30"/>
        </w:rPr>
        <w:t>．</w:t>
      </w:r>
      <w:r>
        <w:rPr>
          <w:rFonts w:hint="eastAsia" w:ascii="Times New Roman" w:hAnsi="Times New Roman" w:eastAsia="仿宋" w:cs="Times New Roman"/>
          <w:color w:val="000000"/>
          <w:kern w:val="0"/>
          <w:sz w:val="32"/>
          <w:szCs w:val="32"/>
          <w:lang w:val="zh-CN"/>
        </w:rPr>
        <w:t>该公司不存在《全国中小企业股份转让系统非上市公众公司重大资产重组业务细则》规定的终止审核情形以及其他影响本次发行股份购买资产的重大事项。</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rPr>
        <w:t>3</w:t>
      </w:r>
      <w:r>
        <w:rPr>
          <w:rFonts w:hint="eastAsia" w:ascii="Times New Roman" w:hAnsi="Times New Roman" w:eastAsia="仿宋"/>
          <w:color w:val="000000"/>
          <w:sz w:val="32"/>
          <w:szCs w:val="30"/>
        </w:rPr>
        <w:t>．</w:t>
      </w:r>
      <w:r>
        <w:rPr>
          <w:rFonts w:hint="eastAsia" w:ascii="Times New Roman" w:hAnsi="Times New Roman" w:eastAsia="仿宋" w:cs="Times New Roman"/>
          <w:color w:val="000000"/>
          <w:kern w:val="0"/>
          <w:sz w:val="32"/>
          <w:szCs w:val="32"/>
          <w:lang w:val="zh-CN"/>
        </w:rPr>
        <w:t>该公司不存在严重损害投资者合法权益和社会公共利益的其他情形。</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项目负责人（签名）</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XX证券（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年  月  日（提交日期）</w:t>
      </w:r>
    </w:p>
    <w:p>
      <w:pPr>
        <w:spacing w:line="600" w:lineRule="exact"/>
        <w:jc w:val="left"/>
        <w:rPr>
          <w:rFonts w:ascii="Times New Roman" w:hAnsi="Times New Roman" w:eastAsia="黑体" w:cs="Times New Roman"/>
          <w:kern w:val="0"/>
          <w:sz w:val="32"/>
          <w:szCs w:val="32"/>
        </w:rPr>
      </w:pPr>
      <w:r>
        <w:rPr>
          <w:rFonts w:ascii="Times New Roman" w:hAnsi="Times New Roman" w:eastAsia="仿宋" w:cs="Times New Roman"/>
          <w:b/>
          <w:kern w:val="0"/>
          <w:sz w:val="28"/>
          <w:szCs w:val="32"/>
        </w:rPr>
        <w:br w:type="page"/>
      </w: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rPr>
        <w:t>7</w:t>
      </w:r>
    </w:p>
    <w:p>
      <w:pPr>
        <w:spacing w:line="600" w:lineRule="exact"/>
        <w:jc w:val="left"/>
        <w:rPr>
          <w:rFonts w:ascii="Times New Roman" w:hAnsi="Times New Roman" w:eastAsia="黑体" w:cs="Times New Roman"/>
          <w:kern w:val="0"/>
          <w:sz w:val="32"/>
          <w:szCs w:val="32"/>
        </w:rPr>
      </w:pPr>
    </w:p>
    <w:p>
      <w:pPr>
        <w:spacing w:line="600" w:lineRule="exact"/>
        <w:jc w:val="center"/>
        <w:rPr>
          <w:rFonts w:ascii="Times New Roman" w:hAnsi="Times New Roman" w:eastAsia="方正大标宋简体" w:cs="Times New Roman"/>
          <w:kern w:val="0"/>
          <w:sz w:val="42"/>
          <w:szCs w:val="42"/>
          <w:lang w:val="zh-CN"/>
        </w:rPr>
      </w:pPr>
      <w:r>
        <w:rPr>
          <w:rFonts w:ascii="Times New Roman" w:hAnsi="Times New Roman" w:eastAsia="方正大标宋简体" w:cs="Times New Roman"/>
          <w:kern w:val="0"/>
          <w:sz w:val="42"/>
          <w:szCs w:val="42"/>
        </w:rPr>
        <w:t xml:space="preserve">7-1 </w:t>
      </w:r>
      <w:r>
        <w:rPr>
          <w:rFonts w:ascii="Times New Roman" w:hAnsi="Times New Roman" w:eastAsia="方正大标宋简体" w:cs="Times New Roman"/>
          <w:kern w:val="0"/>
          <w:sz w:val="42"/>
          <w:szCs w:val="42"/>
          <w:lang w:val="zh-CN"/>
        </w:rPr>
        <w:t>XXXX股份（有限）公司关于终止发行</w:t>
      </w:r>
    </w:p>
    <w:p>
      <w:pPr>
        <w:spacing w:line="600" w:lineRule="exact"/>
        <w:jc w:val="center"/>
        <w:rPr>
          <w:rFonts w:ascii="Times New Roman" w:hAnsi="Times New Roman" w:eastAsia="方正大标宋简体" w:cs="Times New Roman"/>
          <w:kern w:val="0"/>
          <w:sz w:val="42"/>
          <w:szCs w:val="42"/>
          <w:lang w:val="zh-CN"/>
        </w:rPr>
      </w:pPr>
      <w:r>
        <w:rPr>
          <w:rFonts w:ascii="Times New Roman" w:hAnsi="Times New Roman" w:eastAsia="方正大标宋简体" w:cs="Times New Roman"/>
          <w:kern w:val="0"/>
          <w:sz w:val="42"/>
          <w:szCs w:val="42"/>
          <w:lang w:val="zh-CN"/>
        </w:rPr>
        <w:t>股份购买资产的申请</w:t>
      </w:r>
    </w:p>
    <w:p>
      <w:pPr>
        <w:spacing w:line="600" w:lineRule="exact"/>
        <w:jc w:val="center"/>
        <w:rPr>
          <w:rFonts w:ascii="Times New Roman" w:hAnsi="Times New Roman" w:eastAsia="方正大标宋简体" w:cs="Times New Roman"/>
          <w:kern w:val="0"/>
          <w:sz w:val="42"/>
          <w:szCs w:val="42"/>
          <w:lang w:val="zh-CN"/>
        </w:rPr>
      </w:pP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XXXX股份（有限）公司（公司简称：XXXX；证券代码：XXXX）已按照</w:t>
      </w:r>
      <w:r>
        <w:rPr>
          <w:rFonts w:hint="eastAsia" w:ascii="Times New Roman" w:hAnsi="Times New Roman" w:eastAsia="仿宋" w:cs="Times New Roman"/>
          <w:color w:val="000000"/>
          <w:kern w:val="0"/>
          <w:sz w:val="32"/>
          <w:szCs w:val="32"/>
          <w:lang w:val="zh-CN"/>
        </w:rPr>
        <w:t>《非上市公众公司重大资产重组管理办法》</w:t>
      </w:r>
      <w:r>
        <w:rPr>
          <w:rFonts w:ascii="Times New Roman" w:hAnsi="Times New Roman" w:eastAsia="仿宋" w:cs="Times New Roman"/>
          <w:color w:val="000000"/>
          <w:kern w:val="0"/>
          <w:sz w:val="32"/>
          <w:szCs w:val="32"/>
          <w:lang w:val="zh-CN"/>
        </w:rPr>
        <w:t>《全国中小企业股份转让系统</w:t>
      </w:r>
      <w:r>
        <w:rPr>
          <w:rFonts w:hint="eastAsia" w:ascii="Times New Roman" w:hAnsi="Times New Roman" w:eastAsia="仿宋" w:cs="Times New Roman"/>
          <w:color w:val="000000"/>
          <w:kern w:val="0"/>
          <w:sz w:val="32"/>
          <w:szCs w:val="32"/>
          <w:lang w:val="zh-CN"/>
        </w:rPr>
        <w:t>非上市公众公司重大资产重组业务细则</w:t>
      </w:r>
      <w:r>
        <w:rPr>
          <w:rFonts w:ascii="Times New Roman" w:hAnsi="Times New Roman" w:eastAsia="仿宋" w:cs="Times New Roman"/>
          <w:color w:val="000000"/>
          <w:kern w:val="0"/>
          <w:sz w:val="32"/>
          <w:szCs w:val="32"/>
          <w:lang w:val="zh-CN"/>
        </w:rPr>
        <w:t>》的规定，履行了内部审议程序，并于XXXX年XX月XX</w:t>
      </w:r>
      <w:r>
        <w:rPr>
          <w:rFonts w:hint="eastAsia" w:ascii="Times New Roman" w:hAnsi="Times New Roman" w:eastAsia="仿宋" w:cs="Times New Roman"/>
          <w:color w:val="000000"/>
          <w:kern w:val="0"/>
          <w:sz w:val="32"/>
          <w:szCs w:val="32"/>
          <w:lang w:val="zh-CN"/>
        </w:rPr>
        <w:t>日向全国中小企业股份转让系统有限责任公司提交了《</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股份（有限）公司发行股份购买资产审核申请报告》及相关文件。</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现因XXX（请详细说明终止原因），本公司决定终止本次</w:t>
      </w:r>
      <w:r>
        <w:rPr>
          <w:rFonts w:hint="eastAsia" w:ascii="Times New Roman" w:hAnsi="Times New Roman" w:eastAsia="仿宋" w:cs="Times New Roman"/>
          <w:color w:val="000000"/>
          <w:kern w:val="0"/>
          <w:sz w:val="32"/>
          <w:szCs w:val="32"/>
          <w:lang w:val="zh-CN"/>
        </w:rPr>
        <w:t>发行股份购买资产</w:t>
      </w:r>
      <w:r>
        <w:rPr>
          <w:rFonts w:ascii="Times New Roman" w:hAnsi="Times New Roman" w:eastAsia="仿宋" w:cs="Times New Roman"/>
          <w:color w:val="000000"/>
          <w:kern w:val="0"/>
          <w:sz w:val="32"/>
          <w:szCs w:val="32"/>
          <w:lang w:val="zh-CN"/>
        </w:rPr>
        <w:t>，并于XXXX年XX月XX日召开董事会</w:t>
      </w:r>
      <w:r>
        <w:rPr>
          <w:rFonts w:hint="eastAsia" w:ascii="Times New Roman" w:hAnsi="Times New Roman" w:eastAsia="仿宋" w:cs="Times New Roman"/>
          <w:color w:val="000000"/>
          <w:kern w:val="0"/>
          <w:sz w:val="32"/>
          <w:szCs w:val="32"/>
          <w:lang w:val="zh-CN"/>
        </w:rPr>
        <w:t>，</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日召开股东大会，审议通过了终止本次</w:t>
      </w:r>
      <w:r>
        <w:rPr>
          <w:rFonts w:ascii="Times New Roman" w:hAnsi="Times New Roman" w:eastAsia="仿宋" w:cs="Times New Roman"/>
          <w:color w:val="000000"/>
          <w:kern w:val="0"/>
          <w:sz w:val="32"/>
          <w:szCs w:val="32"/>
          <w:lang w:val="zh-CN"/>
        </w:rPr>
        <w:t>发行股份购买资产</w:t>
      </w:r>
      <w:r>
        <w:rPr>
          <w:rFonts w:hint="eastAsia" w:ascii="Times New Roman" w:hAnsi="Times New Roman" w:eastAsia="仿宋" w:cs="Times New Roman"/>
          <w:color w:val="000000"/>
          <w:kern w:val="0"/>
          <w:sz w:val="32"/>
          <w:szCs w:val="32"/>
          <w:lang w:val="zh-CN"/>
        </w:rPr>
        <w:t>的议案，上述董事会决议、股东大会决议和终止</w:t>
      </w:r>
      <w:r>
        <w:rPr>
          <w:rFonts w:ascii="Times New Roman" w:hAnsi="Times New Roman" w:eastAsia="仿宋" w:cs="Times New Roman"/>
          <w:color w:val="000000"/>
          <w:kern w:val="0"/>
          <w:sz w:val="32"/>
          <w:szCs w:val="32"/>
          <w:lang w:val="zh-CN"/>
        </w:rPr>
        <w:t>发行股份购买资产</w:t>
      </w:r>
      <w:r>
        <w:rPr>
          <w:rFonts w:hint="eastAsia" w:ascii="Times New Roman" w:hAnsi="Times New Roman" w:eastAsia="仿宋" w:cs="Times New Roman"/>
          <w:color w:val="000000"/>
          <w:kern w:val="0"/>
          <w:sz w:val="32"/>
          <w:szCs w:val="32"/>
          <w:lang w:val="zh-CN"/>
        </w:rPr>
        <w:t>的公告已及时披露。</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现特向贵公司申请终止本次</w:t>
      </w:r>
      <w:r>
        <w:rPr>
          <w:rFonts w:ascii="Times New Roman" w:hAnsi="Times New Roman" w:eastAsia="仿宋" w:cs="Times New Roman"/>
          <w:color w:val="000000"/>
          <w:kern w:val="0"/>
          <w:sz w:val="32"/>
          <w:szCs w:val="32"/>
          <w:lang w:val="zh-CN"/>
        </w:rPr>
        <w:t>发行股份购买资产</w:t>
      </w:r>
      <w:r>
        <w:rPr>
          <w:rFonts w:hint="eastAsia" w:ascii="Times New Roman" w:hAnsi="Times New Roman" w:eastAsia="仿宋" w:cs="Times New Roman"/>
          <w:color w:val="000000"/>
          <w:kern w:val="0"/>
          <w:sz w:val="32"/>
          <w:szCs w:val="32"/>
          <w:lang w:val="zh-CN"/>
        </w:rPr>
        <w:t>审核。</w:t>
      </w:r>
    </w:p>
    <w:p>
      <w:pPr>
        <w:autoSpaceDE w:val="0"/>
        <w:autoSpaceDN w:val="0"/>
        <w:adjustRightInd w:val="0"/>
        <w:spacing w:line="600" w:lineRule="exact"/>
        <w:ind w:firstLine="3444" w:firstLineChars="1050"/>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法定代表人（签名）</w:t>
      </w: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XXXX</w:t>
      </w:r>
      <w:r>
        <w:rPr>
          <w:rFonts w:hint="eastAsia" w:ascii="Times New Roman" w:hAnsi="Times New Roman" w:eastAsia="仿宋" w:cs="Times New Roman"/>
          <w:color w:val="000000"/>
          <w:kern w:val="0"/>
          <w:sz w:val="32"/>
          <w:szCs w:val="32"/>
          <w:lang w:val="zh-CN"/>
        </w:rPr>
        <w:t>股份（有限）公司（</w:t>
      </w:r>
      <w:r>
        <w:rPr>
          <w:rFonts w:hint="eastAsia" w:ascii="Times New Roman" w:hAnsi="Times New Roman" w:eastAsia="仿宋" w:cs="Times New Roman"/>
          <w:color w:val="000000"/>
          <w:kern w:val="0"/>
          <w:sz w:val="32"/>
          <w:szCs w:val="32"/>
        </w:rPr>
        <w:t>加盖公章</w:t>
      </w:r>
      <w:r>
        <w:rPr>
          <w:rFonts w:hint="eastAsia" w:ascii="Times New Roman" w:hAnsi="Times New Roman" w:eastAsia="仿宋" w:cs="Times New Roman"/>
          <w:color w:val="000000"/>
          <w:kern w:val="0"/>
          <w:sz w:val="32"/>
          <w:szCs w:val="32"/>
          <w:lang w:val="zh-CN"/>
        </w:rPr>
        <w:t>）</w:t>
      </w:r>
      <w:r>
        <w:rPr>
          <w:rFonts w:ascii="Times New Roman" w:hAnsi="Times New Roman" w:eastAsia="仿宋" w:cs="Times New Roman"/>
          <w:color w:val="000000"/>
          <w:kern w:val="0"/>
          <w:sz w:val="32"/>
          <w:szCs w:val="32"/>
          <w:lang w:val="zh-CN"/>
        </w:rPr>
        <w:t xml:space="preserve">年  月  </w:t>
      </w:r>
      <w:r>
        <w:rPr>
          <w:rFonts w:hint="eastAsia" w:ascii="Times New Roman" w:hAnsi="Times New Roman" w:eastAsia="仿宋" w:cs="Times New Roman"/>
          <w:color w:val="000000"/>
          <w:kern w:val="0"/>
          <w:sz w:val="32"/>
          <w:szCs w:val="32"/>
          <w:lang w:val="zh-CN"/>
        </w:rPr>
        <w:t>日</w:t>
      </w:r>
    </w:p>
    <w:p>
      <w:pPr>
        <w:jc w:val="left"/>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br w:type="page"/>
      </w:r>
    </w:p>
    <w:p>
      <w:pPr>
        <w:spacing w:line="600" w:lineRule="exact"/>
        <w:jc w:val="center"/>
        <w:rPr>
          <w:rFonts w:ascii="Times New Roman" w:hAnsi="Times New Roman" w:eastAsia="方正大标宋简体" w:cs="Times New Roman"/>
          <w:kern w:val="0"/>
          <w:sz w:val="42"/>
          <w:szCs w:val="42"/>
        </w:rPr>
      </w:pPr>
      <w:r>
        <w:rPr>
          <w:rFonts w:ascii="Times New Roman" w:hAnsi="Times New Roman" w:eastAsia="方正大标宋简体" w:cs="Times New Roman"/>
          <w:kern w:val="0"/>
          <w:sz w:val="42"/>
          <w:szCs w:val="42"/>
        </w:rPr>
        <w:t>7-2 XX证券公司关于XXXX股份（有限）</w:t>
      </w:r>
    </w:p>
    <w:p>
      <w:pPr>
        <w:spacing w:line="600" w:lineRule="exact"/>
        <w:jc w:val="center"/>
        <w:rPr>
          <w:rFonts w:ascii="Times New Roman" w:hAnsi="Times New Roman" w:eastAsia="方正大标宋简体" w:cs="Times New Roman"/>
          <w:kern w:val="0"/>
          <w:sz w:val="42"/>
          <w:szCs w:val="42"/>
        </w:rPr>
      </w:pPr>
      <w:r>
        <w:rPr>
          <w:rFonts w:ascii="Times New Roman" w:hAnsi="Times New Roman" w:eastAsia="方正大标宋简体" w:cs="Times New Roman"/>
          <w:kern w:val="0"/>
          <w:sz w:val="42"/>
          <w:szCs w:val="42"/>
        </w:rPr>
        <w:t>公司终止发行股份购买资产的核查意见</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p>
    <w:p>
      <w:pPr>
        <w:autoSpaceDE w:val="0"/>
        <w:autoSpaceDN w:val="0"/>
        <w:adjustRightInd w:val="0"/>
        <w:snapToGrid w:val="0"/>
        <w:spacing w:line="600" w:lineRule="exac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napToGrid w:val="0"/>
        <w:spacing w:line="600" w:lineRule="exact"/>
        <w:ind w:firstLine="63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经核查，</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股份（有限）公司（公司简称：</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；证券代码：</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）已按照《非上市公众公司重大资产重组管理办法》《全国中小企业股份转让系统非上市公众公司重大资产重组业务细则》的规定，履行了内部审议程序，并于</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日向全国中小企业股份转让系统有限责任公司提交了《</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股份（有限）公司发行股份购买资产审核申请报告》及相关文件。</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现因</w:t>
      </w:r>
      <w:r>
        <w:rPr>
          <w:rFonts w:ascii="Times New Roman" w:hAnsi="Times New Roman" w:eastAsia="仿宋" w:cs="Times New Roman"/>
          <w:color w:val="000000"/>
          <w:kern w:val="0"/>
          <w:sz w:val="32"/>
          <w:szCs w:val="32"/>
          <w:lang w:val="zh-CN"/>
        </w:rPr>
        <w:t>XXX</w:t>
      </w:r>
      <w:r>
        <w:rPr>
          <w:rFonts w:hint="eastAsia" w:ascii="Times New Roman" w:hAnsi="Times New Roman" w:eastAsia="仿宋" w:cs="Times New Roman"/>
          <w:color w:val="000000"/>
          <w:kern w:val="0"/>
          <w:sz w:val="32"/>
          <w:szCs w:val="32"/>
          <w:lang w:val="zh-CN"/>
        </w:rPr>
        <w:t>（请详细说明终止原因），</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公司决定终止本次发行股份购买资产，并于</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日召开董事会，</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日召开股东大会，审议通过终止本次发行股份购买资产的议案。</w:t>
      </w:r>
    </w:p>
    <w:p>
      <w:pPr>
        <w:autoSpaceDE w:val="0"/>
        <w:autoSpaceDN w:val="0"/>
        <w:adjustRightInd w:val="0"/>
        <w:snapToGrid w:val="0"/>
        <w:spacing w:line="600" w:lineRule="exact"/>
        <w:ind w:firstLine="63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经核查，</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公司终止发行股份购买资产程序合法合规，并已及时履行了信息披露义务。</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公司已与全部交易对方就终止发行股份购买资产等事宜达成一致意见，《</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股份（有限）公司关于终止发行股份购买资产的申请》及相关文件真实、准确、完整。</w:t>
      </w: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项目负责人（签名）</w:t>
      </w: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lang w:val="zh-CN"/>
        </w:rPr>
        <w:t xml:space="preserve"> </w:t>
      </w:r>
      <w:r>
        <w:rPr>
          <w:rFonts w:ascii="Times New Roman" w:hAnsi="Times New Roman" w:eastAsia="仿宋" w:cs="Times New Roman"/>
          <w:color w:val="000000"/>
          <w:kern w:val="0"/>
          <w:sz w:val="32"/>
          <w:szCs w:val="32"/>
          <w:lang w:val="zh-CN"/>
        </w:rPr>
        <w:t xml:space="preserve">    XX证券（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lang w:val="zh-CN"/>
        </w:rPr>
        <w:t>日</w:t>
      </w:r>
    </w:p>
    <w:sectPr>
      <w:pgSz w:w="11905" w:h="16838"/>
      <w:pgMar w:top="1440" w:right="1797" w:bottom="1440" w:left="1797" w:header="851" w:footer="992" w:gutter="0"/>
      <w:pgNumType w:fmt="numberInDash"/>
      <w:cols w:space="0" w:num="1"/>
      <w:docGrid w:type="linesAndChars" w:linePitch="319" w:charSpace="1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1031093"/>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093590"/>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evenAndOddHeaders w:val="true"/>
  <w:drawingGridHorizontalSpacing w:val="109"/>
  <w:drawingGridVerticalSpacing w:val="159"/>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2F"/>
    <w:rsid w:val="00010644"/>
    <w:rsid w:val="0001293C"/>
    <w:rsid w:val="000155DA"/>
    <w:rsid w:val="00027B93"/>
    <w:rsid w:val="00044ADB"/>
    <w:rsid w:val="00044F14"/>
    <w:rsid w:val="000466F0"/>
    <w:rsid w:val="00053A62"/>
    <w:rsid w:val="00055D77"/>
    <w:rsid w:val="00057DCF"/>
    <w:rsid w:val="00063E1D"/>
    <w:rsid w:val="00084F5C"/>
    <w:rsid w:val="00086712"/>
    <w:rsid w:val="000A1F6E"/>
    <w:rsid w:val="000A38B2"/>
    <w:rsid w:val="000B268E"/>
    <w:rsid w:val="000C504B"/>
    <w:rsid w:val="000C59BF"/>
    <w:rsid w:val="000D730A"/>
    <w:rsid w:val="000F235B"/>
    <w:rsid w:val="000F37FB"/>
    <w:rsid w:val="000F72F0"/>
    <w:rsid w:val="000F743B"/>
    <w:rsid w:val="001248DC"/>
    <w:rsid w:val="0012528C"/>
    <w:rsid w:val="001253D5"/>
    <w:rsid w:val="00132826"/>
    <w:rsid w:val="00146BF8"/>
    <w:rsid w:val="00153713"/>
    <w:rsid w:val="00160DF4"/>
    <w:rsid w:val="00161790"/>
    <w:rsid w:val="0017250F"/>
    <w:rsid w:val="00176E39"/>
    <w:rsid w:val="00180F01"/>
    <w:rsid w:val="0018455F"/>
    <w:rsid w:val="00184E60"/>
    <w:rsid w:val="001867E1"/>
    <w:rsid w:val="001B2572"/>
    <w:rsid w:val="001B40AD"/>
    <w:rsid w:val="001E3D06"/>
    <w:rsid w:val="0020193F"/>
    <w:rsid w:val="0021417D"/>
    <w:rsid w:val="00240659"/>
    <w:rsid w:val="00241C15"/>
    <w:rsid w:val="00245D24"/>
    <w:rsid w:val="00273751"/>
    <w:rsid w:val="00280151"/>
    <w:rsid w:val="002947F8"/>
    <w:rsid w:val="002A57E1"/>
    <w:rsid w:val="002D1A9E"/>
    <w:rsid w:val="002D77A7"/>
    <w:rsid w:val="002D7908"/>
    <w:rsid w:val="002E2B85"/>
    <w:rsid w:val="002E50DA"/>
    <w:rsid w:val="002E55DB"/>
    <w:rsid w:val="002E5F36"/>
    <w:rsid w:val="0030582A"/>
    <w:rsid w:val="00307238"/>
    <w:rsid w:val="00316127"/>
    <w:rsid w:val="003211B5"/>
    <w:rsid w:val="00353BFB"/>
    <w:rsid w:val="003548E9"/>
    <w:rsid w:val="00363EF3"/>
    <w:rsid w:val="00371EA9"/>
    <w:rsid w:val="00377AF1"/>
    <w:rsid w:val="003830AC"/>
    <w:rsid w:val="00385539"/>
    <w:rsid w:val="003A2908"/>
    <w:rsid w:val="003D2019"/>
    <w:rsid w:val="003D2021"/>
    <w:rsid w:val="003D5C45"/>
    <w:rsid w:val="003D6A11"/>
    <w:rsid w:val="003F6464"/>
    <w:rsid w:val="003F69F4"/>
    <w:rsid w:val="00401C68"/>
    <w:rsid w:val="00410297"/>
    <w:rsid w:val="00422728"/>
    <w:rsid w:val="00437B0A"/>
    <w:rsid w:val="00440940"/>
    <w:rsid w:val="00442A9E"/>
    <w:rsid w:val="00444699"/>
    <w:rsid w:val="00454A02"/>
    <w:rsid w:val="004561FF"/>
    <w:rsid w:val="00467282"/>
    <w:rsid w:val="0047154B"/>
    <w:rsid w:val="0047474E"/>
    <w:rsid w:val="00483439"/>
    <w:rsid w:val="0048632F"/>
    <w:rsid w:val="00491D9C"/>
    <w:rsid w:val="004A18BE"/>
    <w:rsid w:val="004A4ABA"/>
    <w:rsid w:val="004B2AEA"/>
    <w:rsid w:val="004B49EC"/>
    <w:rsid w:val="004C26CA"/>
    <w:rsid w:val="004D74BB"/>
    <w:rsid w:val="004F294E"/>
    <w:rsid w:val="00510250"/>
    <w:rsid w:val="0051479E"/>
    <w:rsid w:val="0051665D"/>
    <w:rsid w:val="00527B2C"/>
    <w:rsid w:val="0053111A"/>
    <w:rsid w:val="00532142"/>
    <w:rsid w:val="00572F0A"/>
    <w:rsid w:val="00573186"/>
    <w:rsid w:val="0057526C"/>
    <w:rsid w:val="00576B07"/>
    <w:rsid w:val="00581CFA"/>
    <w:rsid w:val="005A1A13"/>
    <w:rsid w:val="005A349C"/>
    <w:rsid w:val="005B7B46"/>
    <w:rsid w:val="005D0DF8"/>
    <w:rsid w:val="005D5ECB"/>
    <w:rsid w:val="005D6444"/>
    <w:rsid w:val="005E39F3"/>
    <w:rsid w:val="005E53E3"/>
    <w:rsid w:val="005F23B9"/>
    <w:rsid w:val="005F406C"/>
    <w:rsid w:val="006115FA"/>
    <w:rsid w:val="00613E68"/>
    <w:rsid w:val="006149AF"/>
    <w:rsid w:val="00621EC8"/>
    <w:rsid w:val="0062582D"/>
    <w:rsid w:val="00631257"/>
    <w:rsid w:val="00646DC5"/>
    <w:rsid w:val="006501E4"/>
    <w:rsid w:val="00651A50"/>
    <w:rsid w:val="006526AA"/>
    <w:rsid w:val="0065455D"/>
    <w:rsid w:val="0066341C"/>
    <w:rsid w:val="006653C5"/>
    <w:rsid w:val="0067217F"/>
    <w:rsid w:val="00677C00"/>
    <w:rsid w:val="0069554F"/>
    <w:rsid w:val="00695E39"/>
    <w:rsid w:val="006A2E7D"/>
    <w:rsid w:val="006A413C"/>
    <w:rsid w:val="006B5FAE"/>
    <w:rsid w:val="006C1FED"/>
    <w:rsid w:val="006C51DF"/>
    <w:rsid w:val="006D0960"/>
    <w:rsid w:val="006D1632"/>
    <w:rsid w:val="006D28D4"/>
    <w:rsid w:val="006D4B70"/>
    <w:rsid w:val="006F004C"/>
    <w:rsid w:val="00700800"/>
    <w:rsid w:val="00705720"/>
    <w:rsid w:val="007343FF"/>
    <w:rsid w:val="00743E98"/>
    <w:rsid w:val="00745077"/>
    <w:rsid w:val="007557E7"/>
    <w:rsid w:val="00762559"/>
    <w:rsid w:val="007644B4"/>
    <w:rsid w:val="00765223"/>
    <w:rsid w:val="007847A2"/>
    <w:rsid w:val="007A2638"/>
    <w:rsid w:val="007A4C02"/>
    <w:rsid w:val="007B3F4F"/>
    <w:rsid w:val="007B72AF"/>
    <w:rsid w:val="007C4B06"/>
    <w:rsid w:val="007D72C1"/>
    <w:rsid w:val="007E77A6"/>
    <w:rsid w:val="00823203"/>
    <w:rsid w:val="00832B9E"/>
    <w:rsid w:val="00865C3A"/>
    <w:rsid w:val="00866D4B"/>
    <w:rsid w:val="0087014E"/>
    <w:rsid w:val="00873ACF"/>
    <w:rsid w:val="0088166C"/>
    <w:rsid w:val="0089221D"/>
    <w:rsid w:val="008C53F5"/>
    <w:rsid w:val="008C593E"/>
    <w:rsid w:val="008C621E"/>
    <w:rsid w:val="008D1657"/>
    <w:rsid w:val="008D4923"/>
    <w:rsid w:val="008E0E48"/>
    <w:rsid w:val="008E30C1"/>
    <w:rsid w:val="008F0FB5"/>
    <w:rsid w:val="008F192E"/>
    <w:rsid w:val="008F668E"/>
    <w:rsid w:val="0090128A"/>
    <w:rsid w:val="00902EBF"/>
    <w:rsid w:val="00905535"/>
    <w:rsid w:val="0091027F"/>
    <w:rsid w:val="00916433"/>
    <w:rsid w:val="00930D31"/>
    <w:rsid w:val="00952090"/>
    <w:rsid w:val="00953981"/>
    <w:rsid w:val="0095548B"/>
    <w:rsid w:val="00960BB5"/>
    <w:rsid w:val="00962022"/>
    <w:rsid w:val="00972F74"/>
    <w:rsid w:val="00973E88"/>
    <w:rsid w:val="00975CE2"/>
    <w:rsid w:val="00980A99"/>
    <w:rsid w:val="00985366"/>
    <w:rsid w:val="00991558"/>
    <w:rsid w:val="00997B58"/>
    <w:rsid w:val="009A5284"/>
    <w:rsid w:val="009A5BED"/>
    <w:rsid w:val="009C0666"/>
    <w:rsid w:val="009C3DBC"/>
    <w:rsid w:val="009C6456"/>
    <w:rsid w:val="009D0B60"/>
    <w:rsid w:val="009D1AEF"/>
    <w:rsid w:val="009E5BC5"/>
    <w:rsid w:val="00A05BE3"/>
    <w:rsid w:val="00A2351A"/>
    <w:rsid w:val="00A342E2"/>
    <w:rsid w:val="00A34D41"/>
    <w:rsid w:val="00A4446E"/>
    <w:rsid w:val="00A530D1"/>
    <w:rsid w:val="00A62469"/>
    <w:rsid w:val="00A65C03"/>
    <w:rsid w:val="00A66B54"/>
    <w:rsid w:val="00A726EC"/>
    <w:rsid w:val="00A846D3"/>
    <w:rsid w:val="00AA204F"/>
    <w:rsid w:val="00AA6486"/>
    <w:rsid w:val="00AC0D56"/>
    <w:rsid w:val="00AD0AFC"/>
    <w:rsid w:val="00AD2970"/>
    <w:rsid w:val="00AD743D"/>
    <w:rsid w:val="00AE3882"/>
    <w:rsid w:val="00AF055C"/>
    <w:rsid w:val="00B22522"/>
    <w:rsid w:val="00B30359"/>
    <w:rsid w:val="00B62886"/>
    <w:rsid w:val="00B63F05"/>
    <w:rsid w:val="00B706BE"/>
    <w:rsid w:val="00B70B02"/>
    <w:rsid w:val="00B74F33"/>
    <w:rsid w:val="00B75D06"/>
    <w:rsid w:val="00B9240D"/>
    <w:rsid w:val="00B92418"/>
    <w:rsid w:val="00BA5C49"/>
    <w:rsid w:val="00BB264A"/>
    <w:rsid w:val="00BB42FC"/>
    <w:rsid w:val="00BB57F8"/>
    <w:rsid w:val="00BB64E8"/>
    <w:rsid w:val="00BC6B82"/>
    <w:rsid w:val="00BE5328"/>
    <w:rsid w:val="00C005E3"/>
    <w:rsid w:val="00C05EAB"/>
    <w:rsid w:val="00C17EF5"/>
    <w:rsid w:val="00C2077C"/>
    <w:rsid w:val="00C268EC"/>
    <w:rsid w:val="00C3738E"/>
    <w:rsid w:val="00C55377"/>
    <w:rsid w:val="00C55B66"/>
    <w:rsid w:val="00C60B48"/>
    <w:rsid w:val="00CA37B5"/>
    <w:rsid w:val="00CB0758"/>
    <w:rsid w:val="00CC3662"/>
    <w:rsid w:val="00CD6AC2"/>
    <w:rsid w:val="00CE3207"/>
    <w:rsid w:val="00CE7FAD"/>
    <w:rsid w:val="00CF030F"/>
    <w:rsid w:val="00CF5387"/>
    <w:rsid w:val="00D13091"/>
    <w:rsid w:val="00D151CA"/>
    <w:rsid w:val="00D22E20"/>
    <w:rsid w:val="00D66582"/>
    <w:rsid w:val="00D70233"/>
    <w:rsid w:val="00D74C80"/>
    <w:rsid w:val="00D7640A"/>
    <w:rsid w:val="00D86DCF"/>
    <w:rsid w:val="00D8795E"/>
    <w:rsid w:val="00D9734D"/>
    <w:rsid w:val="00DA29C8"/>
    <w:rsid w:val="00DB736A"/>
    <w:rsid w:val="00DC0E7C"/>
    <w:rsid w:val="00DC4C23"/>
    <w:rsid w:val="00DC50DE"/>
    <w:rsid w:val="00DD1A6E"/>
    <w:rsid w:val="00DE012F"/>
    <w:rsid w:val="00E03799"/>
    <w:rsid w:val="00E04B51"/>
    <w:rsid w:val="00E164C8"/>
    <w:rsid w:val="00E21E8F"/>
    <w:rsid w:val="00E25D06"/>
    <w:rsid w:val="00E27F6A"/>
    <w:rsid w:val="00E37113"/>
    <w:rsid w:val="00E74316"/>
    <w:rsid w:val="00E81A25"/>
    <w:rsid w:val="00E913BC"/>
    <w:rsid w:val="00E94FA7"/>
    <w:rsid w:val="00E964FB"/>
    <w:rsid w:val="00E966ED"/>
    <w:rsid w:val="00EA71AE"/>
    <w:rsid w:val="00EA7240"/>
    <w:rsid w:val="00EC2356"/>
    <w:rsid w:val="00EC3FEF"/>
    <w:rsid w:val="00ED1832"/>
    <w:rsid w:val="00EE4B85"/>
    <w:rsid w:val="00EE5051"/>
    <w:rsid w:val="00EE679E"/>
    <w:rsid w:val="00EE691B"/>
    <w:rsid w:val="00F120B9"/>
    <w:rsid w:val="00F20C72"/>
    <w:rsid w:val="00F311B3"/>
    <w:rsid w:val="00F32BCC"/>
    <w:rsid w:val="00F47DD8"/>
    <w:rsid w:val="00F50615"/>
    <w:rsid w:val="00F65C54"/>
    <w:rsid w:val="00F71D68"/>
    <w:rsid w:val="00F736BC"/>
    <w:rsid w:val="00F919B4"/>
    <w:rsid w:val="00F93790"/>
    <w:rsid w:val="00F94F79"/>
    <w:rsid w:val="00FA1212"/>
    <w:rsid w:val="00FA309B"/>
    <w:rsid w:val="00FB4C25"/>
    <w:rsid w:val="00FE6CFC"/>
    <w:rsid w:val="00FF509E"/>
    <w:rsid w:val="00FF5882"/>
    <w:rsid w:val="166F1E8E"/>
    <w:rsid w:val="1CFDB70B"/>
    <w:rsid w:val="2BAF8FCB"/>
    <w:rsid w:val="2FDA8D70"/>
    <w:rsid w:val="2FED4BA7"/>
    <w:rsid w:val="37D9D4B3"/>
    <w:rsid w:val="3BEFB602"/>
    <w:rsid w:val="3CFDA077"/>
    <w:rsid w:val="3DFB961B"/>
    <w:rsid w:val="3FCB29AB"/>
    <w:rsid w:val="3FDFEE73"/>
    <w:rsid w:val="466BFB22"/>
    <w:rsid w:val="4BDFF4F2"/>
    <w:rsid w:val="4FB4C595"/>
    <w:rsid w:val="55E7D68E"/>
    <w:rsid w:val="59CB826F"/>
    <w:rsid w:val="5AFB85C2"/>
    <w:rsid w:val="5DFFAE18"/>
    <w:rsid w:val="5EB55609"/>
    <w:rsid w:val="5F793C0A"/>
    <w:rsid w:val="5FF6B16F"/>
    <w:rsid w:val="5FFD510D"/>
    <w:rsid w:val="69BE8FFE"/>
    <w:rsid w:val="6D6DE637"/>
    <w:rsid w:val="733B8E25"/>
    <w:rsid w:val="757F64C4"/>
    <w:rsid w:val="767D7CCB"/>
    <w:rsid w:val="77E5FCAA"/>
    <w:rsid w:val="77EFB655"/>
    <w:rsid w:val="77F01BAF"/>
    <w:rsid w:val="7AE3268E"/>
    <w:rsid w:val="7B3F538B"/>
    <w:rsid w:val="7B7F3166"/>
    <w:rsid w:val="7BF56ECA"/>
    <w:rsid w:val="7C3ED089"/>
    <w:rsid w:val="7D779B59"/>
    <w:rsid w:val="7D7E6A80"/>
    <w:rsid w:val="7DF7FD10"/>
    <w:rsid w:val="7EBEBDC8"/>
    <w:rsid w:val="7EF17FEC"/>
    <w:rsid w:val="7F77FF73"/>
    <w:rsid w:val="7FB70D8E"/>
    <w:rsid w:val="7FFD6787"/>
    <w:rsid w:val="7FFF1EB6"/>
    <w:rsid w:val="89BB1253"/>
    <w:rsid w:val="997314EA"/>
    <w:rsid w:val="99FA5FDC"/>
    <w:rsid w:val="9AFE004E"/>
    <w:rsid w:val="A09D9437"/>
    <w:rsid w:val="ABF68F91"/>
    <w:rsid w:val="AFFDF51D"/>
    <w:rsid w:val="B9FDC2C8"/>
    <w:rsid w:val="BDF6A02A"/>
    <w:rsid w:val="BF6B1BB7"/>
    <w:rsid w:val="BFD7AB15"/>
    <w:rsid w:val="BFFBB94E"/>
    <w:rsid w:val="C3D73B27"/>
    <w:rsid w:val="CEE151C8"/>
    <w:rsid w:val="CFEF868A"/>
    <w:rsid w:val="D35D6F1F"/>
    <w:rsid w:val="DD3F29D5"/>
    <w:rsid w:val="DEDF49DA"/>
    <w:rsid w:val="DFEF607C"/>
    <w:rsid w:val="DFFB3EA3"/>
    <w:rsid w:val="E3D7070E"/>
    <w:rsid w:val="E45FB159"/>
    <w:rsid w:val="E4A32048"/>
    <w:rsid w:val="E57F4030"/>
    <w:rsid w:val="E699FC61"/>
    <w:rsid w:val="E9ED7951"/>
    <w:rsid w:val="EDF963E4"/>
    <w:rsid w:val="F29F8104"/>
    <w:rsid w:val="F2E709D6"/>
    <w:rsid w:val="F379B583"/>
    <w:rsid w:val="F576EE24"/>
    <w:rsid w:val="F5BB24DF"/>
    <w:rsid w:val="F6F64760"/>
    <w:rsid w:val="F6FE7426"/>
    <w:rsid w:val="F77FAD0C"/>
    <w:rsid w:val="FAE79225"/>
    <w:rsid w:val="FAFC093B"/>
    <w:rsid w:val="FB414C0D"/>
    <w:rsid w:val="FB7D44C8"/>
    <w:rsid w:val="FD3B5E6D"/>
    <w:rsid w:val="FDF1F42B"/>
    <w:rsid w:val="FEFF95FD"/>
    <w:rsid w:val="FFE7F7A0"/>
    <w:rsid w:val="FFFA26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Char Char Char Char Char Char Char Char Char Char Char Char Char"/>
    <w:basedOn w:val="1"/>
    <w:qFormat/>
    <w:uiPriority w:val="0"/>
    <w:rPr>
      <w:rFonts w:ascii="Times New Roman" w:hAnsi="Times New Roman" w:eastAsia="宋体" w:cs="Times New Roman"/>
      <w:szCs w:val="24"/>
    </w:rPr>
  </w:style>
  <w:style w:type="paragraph" w:customStyle="1" w:styleId="17">
    <w:name w:val="段落样式5"/>
    <w:basedOn w:val="1"/>
    <w:qFormat/>
    <w:uiPriority w:val="99"/>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paragraph" w:customStyle="1" w:styleId="18">
    <w:name w:val="表头"/>
    <w:basedOn w:val="19"/>
    <w:qFormat/>
    <w:uiPriority w:val="99"/>
    <w:rPr>
      <w:rFonts w:ascii="方正黑体简体" w:eastAsia="方正黑体简体" w:cs="方正黑体简体"/>
    </w:rPr>
  </w:style>
  <w:style w:type="paragraph" w:customStyle="1" w:styleId="19">
    <w:name w:val="表格文字"/>
    <w:basedOn w:val="20"/>
    <w:qFormat/>
    <w:uiPriority w:val="99"/>
    <w:pPr>
      <w:spacing w:line="200" w:lineRule="atLeast"/>
      <w:ind w:firstLine="0"/>
      <w:jc w:val="center"/>
    </w:pPr>
    <w:rPr>
      <w:sz w:val="16"/>
      <w:szCs w:val="16"/>
    </w:rPr>
  </w:style>
  <w:style w:type="paragraph" w:customStyle="1" w:styleId="20">
    <w:name w:val="正文0"/>
    <w:basedOn w:val="21"/>
    <w:qFormat/>
    <w:uiPriority w:val="99"/>
    <w:pPr>
      <w:spacing w:line="241" w:lineRule="atLeast"/>
      <w:ind w:firstLine="367"/>
    </w:pPr>
    <w:rPr>
      <w:rFonts w:ascii="方正书宋_GBK" w:eastAsia="方正书宋_GBK" w:cs="方正书宋_GBK"/>
      <w:sz w:val="18"/>
      <w:szCs w:val="18"/>
    </w:rPr>
  </w:style>
  <w:style w:type="paragraph" w:customStyle="1" w:styleId="21">
    <w:name w:val="[无段落样式]"/>
    <w:qFormat/>
    <w:uiPriority w:val="0"/>
    <w:pPr>
      <w:widowControl w:val="0"/>
      <w:autoSpaceDE w:val="0"/>
      <w:autoSpaceDN w:val="0"/>
      <w:adjustRightInd w:val="0"/>
      <w:spacing w:line="288" w:lineRule="auto"/>
      <w:jc w:val="both"/>
      <w:textAlignment w:val="center"/>
    </w:pPr>
    <w:rPr>
      <w:rFonts w:ascii="宋体" w:eastAsia="宋体" w:cs="宋体" w:hAnsiTheme="minorHAnsi"/>
      <w:color w:val="000000"/>
      <w:sz w:val="24"/>
      <w:szCs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720</Words>
  <Characters>4110</Characters>
  <Lines>34</Lines>
  <Paragraphs>9</Paragraphs>
  <TotalTime>14</TotalTime>
  <ScaleCrop>false</ScaleCrop>
  <LinksUpToDate>false</LinksUpToDate>
  <CharactersWithSpaces>4821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2023-02-18T08:46:00Z</cp:lastPrinted>
  <dcterms:created xsi:type="dcterms:W3CDTF">2020-05-31T15:21:00Z</dcterms:created>
  <dcterms:modified xsi:type="dcterms:W3CDTF">2023-02-16T20:26:02Z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