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New Roman" w:hAnsi="Times New Roman" w:eastAsia="方正仿宋简体"/>
          <w:color w:val="000000"/>
          <w:sz w:val="30"/>
          <w:szCs w:val="30"/>
        </w:rPr>
      </w:pPr>
    </w:p>
    <w:p>
      <w:pPr>
        <w:spacing w:line="600" w:lineRule="exact"/>
        <w:jc w:val="center"/>
        <w:rPr>
          <w:rFonts w:ascii="Times New Roman" w:hAnsi="Times New Roman" w:eastAsia="方正大标宋简体"/>
          <w:color w:val="000000"/>
          <w:sz w:val="44"/>
          <w:szCs w:val="42"/>
        </w:rPr>
      </w:pPr>
      <w:r>
        <w:rPr>
          <w:rFonts w:ascii="Times New Roman" w:hAnsi="Times New Roman" w:eastAsia="方正大标宋简体"/>
          <w:color w:val="000000"/>
          <w:sz w:val="44"/>
          <w:szCs w:val="42"/>
        </w:rPr>
        <w:t>全国中小企业股份转让系统股票</w:t>
      </w:r>
      <w:r>
        <w:rPr>
          <w:rFonts w:hint="eastAsia" w:ascii="Times New Roman" w:hAnsi="Times New Roman" w:eastAsia="方正大标宋简体"/>
          <w:color w:val="000000"/>
          <w:sz w:val="44"/>
          <w:szCs w:val="42"/>
        </w:rPr>
        <w:t>公开转让</w:t>
      </w:r>
    </w:p>
    <w:p>
      <w:pPr>
        <w:spacing w:line="600" w:lineRule="exact"/>
        <w:jc w:val="center"/>
        <w:rPr>
          <w:rFonts w:ascii="Times New Roman" w:hAnsi="Times New Roman" w:eastAsia="方正大标宋简体"/>
          <w:color w:val="000000"/>
          <w:sz w:val="44"/>
          <w:szCs w:val="42"/>
        </w:rPr>
      </w:pPr>
      <w:r>
        <w:rPr>
          <w:rFonts w:hint="eastAsia" w:ascii="Times New Roman" w:hAnsi="Times New Roman" w:eastAsia="方正大标宋简体"/>
          <w:color w:val="000000"/>
          <w:sz w:val="44"/>
          <w:szCs w:val="42"/>
        </w:rPr>
        <w:t>并</w:t>
      </w:r>
      <w:r>
        <w:rPr>
          <w:rFonts w:ascii="Times New Roman" w:hAnsi="Times New Roman" w:eastAsia="方正大标宋简体"/>
          <w:color w:val="000000"/>
          <w:sz w:val="44"/>
          <w:szCs w:val="42"/>
        </w:rPr>
        <w:t>挂牌业务指南</w:t>
      </w:r>
      <w:r>
        <w:rPr>
          <w:rFonts w:hint="eastAsia" w:ascii="Times New Roman" w:hAnsi="Times New Roman" w:eastAsia="方正大标宋简体"/>
          <w:color w:val="000000"/>
          <w:sz w:val="44"/>
          <w:szCs w:val="42"/>
        </w:rPr>
        <w:t>第2号</w:t>
      </w:r>
      <w:r>
        <w:rPr>
          <w:rFonts w:hint="eastAsia" w:ascii="Times New Roman" w:hAnsi="Times New Roman" w:eastAsia="方正大标宋简体"/>
          <w:color w:val="000000"/>
          <w:sz w:val="44"/>
          <w:szCs w:val="42"/>
          <w:lang w:eastAsia="zh-CN"/>
        </w:rPr>
        <w:t>——</w:t>
      </w:r>
      <w:r>
        <w:rPr>
          <w:rFonts w:hint="eastAsia" w:ascii="Times New Roman" w:hAnsi="Times New Roman" w:eastAsia="方正大标宋简体"/>
          <w:color w:val="000000"/>
          <w:sz w:val="44"/>
          <w:szCs w:val="42"/>
        </w:rPr>
        <w:t>挂牌手续</w:t>
      </w:r>
      <w:r>
        <w:rPr>
          <w:rFonts w:ascii="Times New Roman" w:hAnsi="Times New Roman" w:eastAsia="方正大标宋简体"/>
          <w:color w:val="000000"/>
          <w:sz w:val="44"/>
          <w:szCs w:val="42"/>
        </w:rPr>
        <w:t>办理</w:t>
      </w:r>
    </w:p>
    <w:p>
      <w:pPr>
        <w:spacing w:line="560" w:lineRule="exact"/>
        <w:jc w:val="center"/>
        <w:rPr>
          <w:rFonts w:ascii="Times New Roman" w:hAnsi="Times New Roman" w:eastAsia="仿宋"/>
          <w:kern w:val="0"/>
          <w:sz w:val="30"/>
          <w:szCs w:val="30"/>
        </w:rPr>
      </w:pPr>
    </w:p>
    <w:p>
      <w:pPr>
        <w:spacing w:line="600" w:lineRule="exact"/>
        <w:ind w:firstLine="640" w:firstLineChars="200"/>
        <w:jc w:val="both"/>
        <w:rPr>
          <w:rFonts w:ascii="Times New Roman" w:hAnsi="Times New Roman" w:eastAsia="楷体"/>
          <w:sz w:val="32"/>
          <w:szCs w:val="32"/>
        </w:rPr>
      </w:pPr>
      <w:r>
        <w:rPr>
          <w:rFonts w:ascii="Times New Roman" w:hAnsi="Times New Roman" w:eastAsia="仿宋"/>
          <w:sz w:val="32"/>
          <w:szCs w:val="32"/>
        </w:rPr>
        <w:t>（</w:t>
      </w:r>
      <w:r>
        <w:rPr>
          <w:rFonts w:hint="eastAsia" w:ascii="Times New Roman" w:hAnsi="Times New Roman" w:eastAsia="楷体"/>
          <w:sz w:val="32"/>
          <w:szCs w:val="32"/>
        </w:rPr>
        <w:t>2013年8月19日发布《全国中小企业股份转让系统股票挂牌业务操作指南（试行）》，2014年5月6日、2014年12月31日、2015年10月20日、2017年6月16日、2020年3月6日、2020年9月30日修订，2023年2月17日第七次修订并更名为《全国中小企业股份转让系统股票公开转让并挂牌业务指南第2号</w:t>
      </w:r>
      <w:r>
        <w:rPr>
          <w:rFonts w:hint="eastAsia" w:ascii="Times New Roman" w:hAnsi="Times New Roman" w:eastAsia="楷体"/>
          <w:sz w:val="32"/>
          <w:szCs w:val="32"/>
          <w:lang w:eastAsia="zh-CN"/>
        </w:rPr>
        <w:t>——</w:t>
      </w:r>
      <w:r>
        <w:rPr>
          <w:rFonts w:hint="eastAsia" w:ascii="Times New Roman" w:hAnsi="Times New Roman" w:eastAsia="楷体"/>
          <w:sz w:val="32"/>
          <w:szCs w:val="32"/>
        </w:rPr>
        <w:t>挂牌手续办理》</w:t>
      </w:r>
      <w:r>
        <w:rPr>
          <w:rFonts w:hint="eastAsia" w:ascii="Times New Roman" w:hAnsi="Times New Roman" w:eastAsia="仿宋"/>
          <w:sz w:val="32"/>
          <w:szCs w:val="32"/>
        </w:rPr>
        <w:t>）</w:t>
      </w:r>
    </w:p>
    <w:p>
      <w:pPr>
        <w:spacing w:line="560" w:lineRule="exact"/>
        <w:jc w:val="center"/>
        <w:rPr>
          <w:rFonts w:ascii="Times New Roman" w:hAnsi="Times New Roman" w:eastAsia="仿宋"/>
          <w:kern w:val="0"/>
          <w:sz w:val="30"/>
          <w:szCs w:val="30"/>
        </w:rPr>
      </w:pP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为了规范申请股票挂牌、申请股票挂牌同时定向发行</w:t>
      </w:r>
      <w:r>
        <w:rPr>
          <w:rFonts w:hint="eastAsia" w:ascii="Times New Roman" w:hAnsi="Times New Roman" w:eastAsia="仿宋"/>
          <w:bCs/>
          <w:sz w:val="32"/>
          <w:szCs w:val="32"/>
        </w:rPr>
        <w:t>股票</w:t>
      </w:r>
      <w:r>
        <w:rPr>
          <w:rFonts w:ascii="Times New Roman" w:hAnsi="Times New Roman" w:eastAsia="仿宋"/>
          <w:bCs/>
          <w:sz w:val="32"/>
          <w:szCs w:val="32"/>
        </w:rPr>
        <w:t>的公司（以下</w:t>
      </w:r>
      <w:r>
        <w:rPr>
          <w:rFonts w:hint="eastAsia" w:ascii="Times New Roman" w:hAnsi="Times New Roman" w:eastAsia="仿宋"/>
          <w:bCs/>
          <w:sz w:val="32"/>
          <w:szCs w:val="32"/>
        </w:rPr>
        <w:t>简称</w:t>
      </w:r>
      <w:r>
        <w:rPr>
          <w:rFonts w:ascii="Times New Roman" w:hAnsi="Times New Roman" w:eastAsia="仿宋"/>
          <w:bCs/>
          <w:sz w:val="32"/>
          <w:szCs w:val="32"/>
        </w:rPr>
        <w:t>申请</w:t>
      </w:r>
      <w:r>
        <w:rPr>
          <w:rFonts w:hint="eastAsia" w:ascii="Times New Roman" w:hAnsi="Times New Roman" w:eastAsia="仿宋"/>
          <w:bCs/>
          <w:sz w:val="32"/>
          <w:szCs w:val="32"/>
        </w:rPr>
        <w:t>人</w:t>
      </w:r>
      <w:r>
        <w:rPr>
          <w:rFonts w:ascii="Times New Roman" w:hAnsi="Times New Roman" w:eastAsia="仿宋"/>
          <w:bCs/>
          <w:sz w:val="32"/>
          <w:szCs w:val="32"/>
        </w:rPr>
        <w:t>）及其主办券商在全国中小企业股份转让系统（以下简称全国股转系统）办理股票挂牌业务，根据</w:t>
      </w:r>
      <w:r>
        <w:rPr>
          <w:rFonts w:hint="eastAsia" w:ascii="Times New Roman" w:hAnsi="Times New Roman" w:eastAsia="仿宋"/>
          <w:bCs/>
          <w:sz w:val="32"/>
          <w:szCs w:val="32"/>
        </w:rPr>
        <w:t>《</w:t>
      </w:r>
      <w:r>
        <w:rPr>
          <w:rFonts w:ascii="Times New Roman" w:hAnsi="Times New Roman" w:eastAsia="仿宋"/>
          <w:bCs/>
          <w:sz w:val="32"/>
          <w:szCs w:val="32"/>
        </w:rPr>
        <w:t>全国中小企业股份转让系统</w:t>
      </w:r>
      <w:r>
        <w:rPr>
          <w:rFonts w:hint="eastAsia" w:ascii="Times New Roman" w:hAnsi="Times New Roman" w:eastAsia="仿宋"/>
          <w:bCs/>
          <w:sz w:val="32"/>
          <w:szCs w:val="32"/>
        </w:rPr>
        <w:t>股票</w:t>
      </w:r>
      <w:r>
        <w:rPr>
          <w:rFonts w:ascii="Times New Roman" w:hAnsi="Times New Roman" w:eastAsia="仿宋"/>
          <w:bCs/>
          <w:sz w:val="32"/>
          <w:szCs w:val="32"/>
        </w:rPr>
        <w:t>挂牌规则》《全国中小企业股份转让系统股票定向发行规则》</w:t>
      </w:r>
      <w:r>
        <w:rPr>
          <w:rFonts w:hint="eastAsia" w:ascii="Times New Roman" w:hAnsi="Times New Roman" w:eastAsia="仿宋"/>
          <w:bCs/>
          <w:sz w:val="32"/>
          <w:szCs w:val="32"/>
        </w:rPr>
        <w:t>《北京证券交易所 全国中小企业股份转让系统证券代码、证券简称编制指引》</w:t>
      </w:r>
      <w:r>
        <w:rPr>
          <w:rFonts w:ascii="Times New Roman" w:hAnsi="Times New Roman" w:eastAsia="仿宋"/>
          <w:bCs/>
          <w:sz w:val="32"/>
          <w:szCs w:val="32"/>
        </w:rPr>
        <w:t>等有关规定，制定本指南。</w:t>
      </w:r>
    </w:p>
    <w:p>
      <w:pPr>
        <w:spacing w:line="600" w:lineRule="exact"/>
        <w:ind w:firstLine="640" w:firstLineChars="200"/>
        <w:outlineLvl w:val="0"/>
        <w:rPr>
          <w:rFonts w:ascii="Times New Roman" w:hAnsi="Times New Roman" w:eastAsia="黑体"/>
          <w:bCs/>
          <w:sz w:val="32"/>
          <w:szCs w:val="32"/>
        </w:rPr>
      </w:pPr>
      <w:r>
        <w:rPr>
          <w:rFonts w:hint="eastAsia" w:ascii="Times New Roman" w:hAnsi="Times New Roman" w:eastAsia="黑体"/>
          <w:bCs/>
          <w:sz w:val="32"/>
          <w:szCs w:val="32"/>
        </w:rPr>
        <w:t>1.</w:t>
      </w:r>
      <w:r>
        <w:rPr>
          <w:rFonts w:ascii="Times New Roman" w:hAnsi="Times New Roman" w:eastAsia="黑体"/>
          <w:bCs/>
          <w:sz w:val="32"/>
          <w:szCs w:val="32"/>
        </w:rPr>
        <w:t>股票挂牌</w:t>
      </w:r>
      <w:r>
        <w:rPr>
          <w:rFonts w:hint="eastAsia" w:ascii="Times New Roman" w:hAnsi="Times New Roman" w:eastAsia="黑体"/>
          <w:bCs/>
          <w:sz w:val="32"/>
          <w:szCs w:val="32"/>
        </w:rPr>
        <w:t>手续</w:t>
      </w:r>
      <w:r>
        <w:rPr>
          <w:rFonts w:ascii="Times New Roman" w:hAnsi="Times New Roman" w:eastAsia="黑体"/>
          <w:bCs/>
          <w:sz w:val="32"/>
          <w:szCs w:val="32"/>
        </w:rPr>
        <w:t>办理流程</w:t>
      </w:r>
    </w:p>
    <w:p>
      <w:pPr>
        <w:spacing w:line="600" w:lineRule="exact"/>
        <w:ind w:firstLine="640" w:firstLineChars="200"/>
        <w:outlineLvl w:val="1"/>
        <w:rPr>
          <w:rFonts w:ascii="Times New Roman" w:hAnsi="Times New Roman" w:eastAsia="楷体"/>
          <w:bCs/>
          <w:sz w:val="32"/>
          <w:szCs w:val="32"/>
        </w:rPr>
      </w:pPr>
      <w:r>
        <w:rPr>
          <w:rFonts w:hint="eastAsia" w:ascii="Times New Roman" w:hAnsi="Times New Roman" w:eastAsia="楷体"/>
          <w:bCs/>
          <w:sz w:val="32"/>
          <w:szCs w:val="32"/>
        </w:rPr>
        <w:t>1</w:t>
      </w:r>
      <w:r>
        <w:rPr>
          <w:rFonts w:ascii="Times New Roman" w:hAnsi="Times New Roman" w:eastAsia="楷体"/>
          <w:bCs/>
          <w:sz w:val="32"/>
          <w:szCs w:val="32"/>
        </w:rPr>
        <w:t>.1股东开户</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主办券商应</w:t>
      </w:r>
      <w:r>
        <w:rPr>
          <w:rFonts w:hint="eastAsia" w:ascii="Times New Roman" w:hAnsi="Times New Roman" w:eastAsia="仿宋"/>
          <w:bCs/>
          <w:sz w:val="32"/>
          <w:szCs w:val="32"/>
        </w:rPr>
        <w:t>当</w:t>
      </w:r>
      <w:r>
        <w:rPr>
          <w:rFonts w:ascii="Times New Roman" w:hAnsi="Times New Roman" w:eastAsia="仿宋"/>
          <w:bCs/>
          <w:sz w:val="32"/>
          <w:szCs w:val="32"/>
        </w:rPr>
        <w:t>协助申请人在向全国中小企业股份转让系统有限责任公司（以下简称全国股转公司）报送挂牌及发行（如有）申请文件前，完成现有股东证券账户的开立工作。如股东属于境外机构或个人、境内个人独资企业等特殊情形的，应</w:t>
      </w:r>
      <w:r>
        <w:rPr>
          <w:rFonts w:hint="eastAsia" w:ascii="Times New Roman" w:hAnsi="Times New Roman" w:eastAsia="仿宋"/>
          <w:bCs/>
          <w:sz w:val="32"/>
          <w:szCs w:val="32"/>
        </w:rPr>
        <w:t>当</w:t>
      </w:r>
      <w:r>
        <w:rPr>
          <w:rFonts w:ascii="Times New Roman" w:hAnsi="Times New Roman" w:eastAsia="仿宋"/>
          <w:bCs/>
          <w:sz w:val="32"/>
          <w:szCs w:val="32"/>
        </w:rPr>
        <w:t>根据中国证券登记结算有限责任公司的有关规定办理。</w:t>
      </w:r>
    </w:p>
    <w:p>
      <w:pPr>
        <w:spacing w:line="600" w:lineRule="exact"/>
        <w:ind w:firstLine="640" w:firstLineChars="200"/>
        <w:outlineLvl w:val="1"/>
        <w:rPr>
          <w:rFonts w:ascii="Times New Roman" w:hAnsi="Times New Roman" w:eastAsia="楷体"/>
          <w:bCs/>
          <w:sz w:val="32"/>
          <w:szCs w:val="32"/>
        </w:rPr>
      </w:pPr>
      <w:r>
        <w:rPr>
          <w:rFonts w:hint="eastAsia" w:ascii="Times New Roman" w:hAnsi="Times New Roman" w:eastAsia="楷体"/>
          <w:bCs/>
          <w:sz w:val="32"/>
          <w:szCs w:val="32"/>
        </w:rPr>
        <w:t>1</w:t>
      </w:r>
      <w:r>
        <w:rPr>
          <w:rFonts w:ascii="Times New Roman" w:hAnsi="Times New Roman" w:eastAsia="楷体"/>
          <w:bCs/>
          <w:sz w:val="32"/>
          <w:szCs w:val="32"/>
        </w:rPr>
        <w:t>.2申请证券简称和证券代码</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申请人在向全国股转公司报送挂牌及发行（如有）申请文件时，</w:t>
      </w:r>
      <w:r>
        <w:rPr>
          <w:rFonts w:hint="eastAsia" w:ascii="Times New Roman" w:hAnsi="Times New Roman" w:eastAsia="仿宋"/>
          <w:bCs/>
          <w:sz w:val="32"/>
          <w:szCs w:val="32"/>
        </w:rPr>
        <w:t>应当一并提交《证券简称及证券代码申请书》（附件</w:t>
      </w:r>
      <w:r>
        <w:rPr>
          <w:rFonts w:ascii="Times New Roman" w:hAnsi="Times New Roman" w:eastAsia="仿宋"/>
          <w:bCs/>
          <w:sz w:val="32"/>
          <w:szCs w:val="32"/>
        </w:rPr>
        <w:t>1</w:t>
      </w:r>
      <w:r>
        <w:rPr>
          <w:rFonts w:hint="eastAsia" w:ascii="Times New Roman" w:hAnsi="Times New Roman" w:eastAsia="仿宋"/>
          <w:bCs/>
          <w:sz w:val="32"/>
          <w:szCs w:val="32"/>
        </w:rPr>
        <w:t>），</w:t>
      </w:r>
      <w:r>
        <w:rPr>
          <w:rFonts w:ascii="Times New Roman" w:hAnsi="Times New Roman" w:eastAsia="仿宋"/>
          <w:bCs/>
          <w:sz w:val="32"/>
          <w:szCs w:val="32"/>
        </w:rPr>
        <w:t>并由主办券商协助申请人将拟定的证券简称填报在全国股转系统业务支持平台（以下简称BPM系统）申请人基本情况中。</w:t>
      </w:r>
      <w:r>
        <w:rPr>
          <w:rFonts w:hint="eastAsia" w:ascii="Times New Roman" w:hAnsi="Times New Roman" w:eastAsia="仿宋"/>
          <w:bCs/>
          <w:sz w:val="32"/>
          <w:szCs w:val="32"/>
        </w:rPr>
        <w:t>证券简称原则上应当从公司名称中选取不超过八个字符（单字节字符），且应避免与挂牌公司和上市公司重复。</w:t>
      </w:r>
    </w:p>
    <w:p>
      <w:pPr>
        <w:spacing w:line="600" w:lineRule="exact"/>
        <w:ind w:firstLine="640" w:firstLineChars="200"/>
        <w:outlineLvl w:val="1"/>
        <w:rPr>
          <w:rFonts w:ascii="Times New Roman" w:hAnsi="Times New Roman" w:eastAsia="楷体"/>
          <w:bCs/>
          <w:sz w:val="32"/>
          <w:szCs w:val="32"/>
        </w:rPr>
      </w:pPr>
      <w:r>
        <w:rPr>
          <w:rFonts w:hint="eastAsia" w:ascii="Times New Roman" w:hAnsi="Times New Roman" w:eastAsia="楷体"/>
          <w:bCs/>
          <w:sz w:val="32"/>
          <w:szCs w:val="32"/>
        </w:rPr>
        <w:t>1</w:t>
      </w:r>
      <w:r>
        <w:rPr>
          <w:rFonts w:ascii="Times New Roman" w:hAnsi="Times New Roman" w:eastAsia="楷体"/>
          <w:bCs/>
          <w:sz w:val="32"/>
          <w:szCs w:val="32"/>
        </w:rPr>
        <w:t>.3中国结算在线业务平台注册</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申请人在收到全国股转公司出具的申请材料受理通知书后，</w:t>
      </w:r>
      <w:r>
        <w:rPr>
          <w:rFonts w:hint="eastAsia" w:ascii="Times New Roman" w:hAnsi="Times New Roman" w:eastAsia="仿宋"/>
          <w:bCs/>
          <w:sz w:val="32"/>
          <w:szCs w:val="32"/>
        </w:rPr>
        <w:t>主办券商</w:t>
      </w:r>
      <w:r>
        <w:rPr>
          <w:rFonts w:ascii="Times New Roman" w:hAnsi="Times New Roman" w:eastAsia="仿宋"/>
          <w:bCs/>
          <w:sz w:val="32"/>
          <w:szCs w:val="32"/>
        </w:rPr>
        <w:t>应当</w:t>
      </w:r>
      <w:r>
        <w:rPr>
          <w:rFonts w:hint="eastAsia" w:ascii="Times New Roman" w:hAnsi="Times New Roman" w:eastAsia="仿宋"/>
          <w:bCs/>
          <w:sz w:val="32"/>
          <w:szCs w:val="32"/>
        </w:rPr>
        <w:t>协助</w:t>
      </w:r>
      <w:r>
        <w:rPr>
          <w:rFonts w:ascii="Times New Roman" w:hAnsi="Times New Roman" w:eastAsia="仿宋"/>
          <w:bCs/>
          <w:sz w:val="32"/>
          <w:szCs w:val="32"/>
        </w:rPr>
        <w:t>申请人按照中国证券登记结算有限责任公司北京分公司（以下简称中国结算北京分公司）关于证券登记相关要求，通过中国结算北京分公司在线业务平台办理注册，取得中国结算北京分公司发放的USB-KEY，用于办理股份登记等相关业务。</w:t>
      </w:r>
    </w:p>
    <w:p>
      <w:pPr>
        <w:spacing w:line="600" w:lineRule="exact"/>
        <w:ind w:firstLine="640" w:firstLineChars="200"/>
        <w:outlineLvl w:val="1"/>
        <w:rPr>
          <w:rFonts w:ascii="Times New Roman" w:hAnsi="Times New Roman" w:eastAsia="楷体"/>
          <w:bCs/>
          <w:sz w:val="32"/>
          <w:szCs w:val="32"/>
        </w:rPr>
      </w:pPr>
      <w:r>
        <w:rPr>
          <w:rFonts w:hint="eastAsia" w:ascii="Times New Roman" w:hAnsi="Times New Roman" w:eastAsia="楷体"/>
          <w:bCs/>
          <w:sz w:val="32"/>
          <w:szCs w:val="32"/>
        </w:rPr>
        <w:t>1</w:t>
      </w:r>
      <w:r>
        <w:rPr>
          <w:rFonts w:ascii="Times New Roman" w:hAnsi="Times New Roman" w:eastAsia="楷体"/>
          <w:bCs/>
          <w:sz w:val="32"/>
          <w:szCs w:val="32"/>
        </w:rPr>
        <w:t>.4取得同意函、证券简称及证券代码</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申请人取得同意挂牌的函或同意挂牌及发行的函（以下统称同意函）后，主办券商应当协助申请人在</w:t>
      </w:r>
      <w:r>
        <w:rPr>
          <w:rFonts w:hint="default" w:ascii="Times New Roman" w:hAnsi="Times New Roman" w:eastAsia="仿宋" w:cs="Times New Roman"/>
          <w:bCs/>
          <w:sz w:val="32"/>
          <w:szCs w:val="32"/>
        </w:rPr>
        <w:t>BPM</w:t>
      </w:r>
      <w:r>
        <w:rPr>
          <w:rFonts w:hint="eastAsia" w:ascii="仿宋" w:hAnsi="仿宋" w:eastAsia="仿宋"/>
          <w:bCs/>
          <w:sz w:val="32"/>
          <w:szCs w:val="32"/>
        </w:rPr>
        <w:t>系统</w:t>
      </w:r>
      <w:r>
        <w:rPr>
          <w:rFonts w:ascii="仿宋" w:hAnsi="仿宋" w:eastAsia="仿宋"/>
          <w:bCs/>
          <w:sz w:val="32"/>
          <w:szCs w:val="32"/>
        </w:rPr>
        <w:t>“</w:t>
      </w:r>
      <w:r>
        <w:rPr>
          <w:rFonts w:hint="eastAsia" w:ascii="仿宋" w:hAnsi="仿宋" w:eastAsia="仿宋"/>
          <w:bCs/>
          <w:sz w:val="32"/>
          <w:szCs w:val="32"/>
        </w:rPr>
        <w:t>挂牌审核管理</w:t>
      </w:r>
      <w:r>
        <w:rPr>
          <w:rFonts w:ascii="仿宋" w:hAnsi="仿宋" w:eastAsia="仿宋"/>
          <w:bCs/>
          <w:sz w:val="32"/>
          <w:szCs w:val="32"/>
        </w:rPr>
        <w:t>”</w:t>
      </w:r>
      <w:r>
        <w:rPr>
          <w:rFonts w:hint="eastAsia" w:ascii="仿宋" w:hAnsi="仿宋" w:eastAsia="仿宋"/>
          <w:bCs/>
          <w:sz w:val="32"/>
          <w:szCs w:val="32"/>
        </w:rPr>
        <w:t>模块中的</w:t>
      </w:r>
      <w:r>
        <w:rPr>
          <w:rFonts w:ascii="仿宋" w:hAnsi="仿宋" w:eastAsia="仿宋"/>
          <w:bCs/>
          <w:sz w:val="32"/>
          <w:szCs w:val="32"/>
        </w:rPr>
        <w:t>“</w:t>
      </w:r>
      <w:r>
        <w:rPr>
          <w:rFonts w:hint="eastAsia" w:ascii="仿宋" w:hAnsi="仿宋" w:eastAsia="仿宋"/>
          <w:bCs/>
          <w:sz w:val="32"/>
          <w:szCs w:val="32"/>
        </w:rPr>
        <w:t>待确认归档</w:t>
      </w:r>
      <w:r>
        <w:rPr>
          <w:rFonts w:ascii="仿宋" w:hAnsi="仿宋" w:eastAsia="仿宋"/>
          <w:bCs/>
          <w:sz w:val="32"/>
          <w:szCs w:val="32"/>
        </w:rPr>
        <w:t>”</w:t>
      </w:r>
      <w:r>
        <w:rPr>
          <w:rFonts w:hint="eastAsia" w:ascii="仿宋" w:hAnsi="仿宋" w:eastAsia="仿宋"/>
          <w:bCs/>
          <w:sz w:val="32"/>
          <w:szCs w:val="32"/>
        </w:rPr>
        <w:t>任务栏找到已经获得同意的项目，完成项目归档后，在</w:t>
      </w:r>
      <w:r>
        <w:rPr>
          <w:rFonts w:ascii="仿宋" w:hAnsi="仿宋" w:eastAsia="仿宋"/>
          <w:bCs/>
          <w:sz w:val="32"/>
          <w:szCs w:val="32"/>
        </w:rPr>
        <w:t>“</w:t>
      </w:r>
      <w:r>
        <w:rPr>
          <w:rFonts w:hint="eastAsia" w:ascii="仿宋" w:hAnsi="仿宋" w:eastAsia="仿宋"/>
          <w:bCs/>
          <w:sz w:val="32"/>
          <w:szCs w:val="32"/>
        </w:rPr>
        <w:t>挂牌项目</w:t>
      </w:r>
      <w:r>
        <w:rPr>
          <w:rFonts w:ascii="仿宋" w:hAnsi="仿宋" w:eastAsia="仿宋"/>
          <w:bCs/>
          <w:sz w:val="32"/>
          <w:szCs w:val="32"/>
        </w:rPr>
        <w:t>”</w:t>
      </w:r>
      <w:r>
        <w:rPr>
          <w:rFonts w:hint="eastAsia" w:ascii="仿宋" w:hAnsi="仿宋" w:eastAsia="仿宋"/>
          <w:bCs/>
          <w:sz w:val="32"/>
          <w:szCs w:val="32"/>
        </w:rPr>
        <w:t>栏目中查询并下载同意函。</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主办券商在完成项目归档并取得同意函后，应当协助申请人在</w:t>
      </w:r>
      <w:r>
        <w:rPr>
          <w:rFonts w:hint="eastAsia" w:ascii="Times New Roman" w:hAnsi="Times New Roman" w:eastAsia="仿宋" w:cs="Times New Roman"/>
          <w:bCs/>
          <w:sz w:val="32"/>
          <w:szCs w:val="32"/>
        </w:rPr>
        <w:t>BPM</w:t>
      </w:r>
      <w:r>
        <w:rPr>
          <w:rFonts w:hint="eastAsia" w:ascii="仿宋" w:hAnsi="仿宋" w:eastAsia="仿宋"/>
          <w:bCs/>
          <w:sz w:val="32"/>
          <w:szCs w:val="32"/>
        </w:rPr>
        <w:t>系统“代码选号管理”模块中的“代码选号列表”确定证券代码。证券代码管理按照《全国中小企业股份转让系统股票代码管理指南》相关要求执行。证券代码确定后，</w:t>
      </w:r>
      <w:r>
        <w:rPr>
          <w:rFonts w:hint="eastAsia" w:ascii="Times New Roman" w:hAnsi="Times New Roman" w:eastAsia="仿宋" w:cs="Times New Roman"/>
          <w:bCs/>
          <w:sz w:val="32"/>
          <w:szCs w:val="32"/>
        </w:rPr>
        <w:t>BPM</w:t>
      </w:r>
      <w:r>
        <w:rPr>
          <w:rFonts w:hint="eastAsia" w:ascii="仿宋" w:hAnsi="仿宋" w:eastAsia="仿宋"/>
          <w:bCs/>
          <w:sz w:val="32"/>
          <w:szCs w:val="32"/>
        </w:rPr>
        <w:t>系统将对申请人申请的证券简称进行自动校验。完成前述事项后，申请人可以在</w:t>
      </w:r>
      <w:r>
        <w:rPr>
          <w:rFonts w:hint="eastAsia" w:ascii="Times New Roman" w:hAnsi="Times New Roman" w:eastAsia="仿宋" w:cs="Times New Roman"/>
          <w:bCs/>
          <w:sz w:val="32"/>
          <w:szCs w:val="32"/>
        </w:rPr>
        <w:t>BPM</w:t>
      </w:r>
      <w:r>
        <w:rPr>
          <w:rFonts w:hint="eastAsia" w:ascii="仿宋" w:hAnsi="仿宋" w:eastAsia="仿宋"/>
          <w:bCs/>
          <w:sz w:val="32"/>
          <w:szCs w:val="32"/>
        </w:rPr>
        <w:t>系统“股票初始登记管理”模块中的“待提交初始登记申请列表”任务栏取得证券简称和证券代码。</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申请人应当在</w:t>
      </w:r>
      <w:r>
        <w:rPr>
          <w:rFonts w:hint="eastAsia" w:ascii="Times New Roman" w:hAnsi="Times New Roman" w:eastAsia="仿宋"/>
          <w:bCs/>
          <w:sz w:val="32"/>
          <w:szCs w:val="32"/>
        </w:rPr>
        <w:t>取得</w:t>
      </w:r>
      <w:r>
        <w:rPr>
          <w:rFonts w:ascii="Times New Roman" w:hAnsi="Times New Roman" w:eastAsia="仿宋"/>
          <w:bCs/>
          <w:sz w:val="32"/>
          <w:szCs w:val="32"/>
        </w:rPr>
        <w:t>同意函</w:t>
      </w:r>
      <w:r>
        <w:rPr>
          <w:rFonts w:hint="eastAsia" w:ascii="Times New Roman" w:hAnsi="Times New Roman" w:eastAsia="仿宋"/>
          <w:bCs/>
          <w:sz w:val="32"/>
          <w:szCs w:val="32"/>
        </w:rPr>
        <w:t>12个月以内</w:t>
      </w:r>
      <w:r>
        <w:rPr>
          <w:rFonts w:ascii="Times New Roman" w:hAnsi="Times New Roman" w:eastAsia="仿宋"/>
          <w:bCs/>
          <w:sz w:val="32"/>
          <w:szCs w:val="32"/>
        </w:rPr>
        <w:t>完成</w:t>
      </w:r>
      <w:r>
        <w:rPr>
          <w:rFonts w:hint="eastAsia" w:ascii="Times New Roman" w:hAnsi="Times New Roman" w:eastAsia="仿宋"/>
          <w:bCs/>
          <w:sz w:val="32"/>
          <w:szCs w:val="32"/>
        </w:rPr>
        <w:t>股票</w:t>
      </w:r>
      <w:r>
        <w:rPr>
          <w:rFonts w:ascii="Times New Roman" w:hAnsi="Times New Roman" w:eastAsia="仿宋"/>
          <w:bCs/>
          <w:sz w:val="32"/>
          <w:szCs w:val="32"/>
        </w:rPr>
        <w:t>定向发行（如有）及股票挂牌程序。</w:t>
      </w:r>
    </w:p>
    <w:p>
      <w:pPr>
        <w:spacing w:line="600" w:lineRule="exact"/>
        <w:ind w:firstLine="640" w:firstLineChars="200"/>
        <w:outlineLvl w:val="1"/>
        <w:rPr>
          <w:rFonts w:ascii="Times New Roman" w:hAnsi="Times New Roman" w:eastAsia="楷体"/>
          <w:bCs/>
          <w:sz w:val="32"/>
          <w:szCs w:val="32"/>
        </w:rPr>
      </w:pPr>
      <w:r>
        <w:rPr>
          <w:rFonts w:hint="eastAsia" w:ascii="Times New Roman" w:hAnsi="Times New Roman" w:eastAsia="仿宋"/>
          <w:bCs/>
          <w:sz w:val="32"/>
          <w:szCs w:val="32"/>
        </w:rPr>
        <w:t>1</w:t>
      </w:r>
      <w:r>
        <w:rPr>
          <w:rFonts w:ascii="Times New Roman" w:hAnsi="Times New Roman" w:eastAsia="仿宋"/>
          <w:bCs/>
          <w:sz w:val="32"/>
          <w:szCs w:val="32"/>
        </w:rPr>
        <w:t>.5</w:t>
      </w:r>
      <w:r>
        <w:rPr>
          <w:rFonts w:ascii="Times New Roman" w:hAnsi="Times New Roman" w:eastAsia="楷体"/>
          <w:bCs/>
          <w:sz w:val="32"/>
          <w:szCs w:val="32"/>
        </w:rPr>
        <w:t>办理挂牌前首次信息披露</w:t>
      </w:r>
    </w:p>
    <w:p>
      <w:pPr>
        <w:spacing w:line="600" w:lineRule="exact"/>
        <w:ind w:firstLine="640" w:firstLineChars="200"/>
        <w:outlineLvl w:val="2"/>
        <w:rPr>
          <w:rFonts w:ascii="Times New Roman" w:hAnsi="Times New Roman" w:eastAsia="仿宋"/>
          <w:bCs/>
          <w:sz w:val="32"/>
          <w:szCs w:val="32"/>
        </w:rPr>
      </w:pPr>
      <w:r>
        <w:rPr>
          <w:rFonts w:ascii="Times New Roman" w:hAnsi="Times New Roman" w:eastAsia="仿宋"/>
          <w:bCs/>
          <w:sz w:val="32"/>
          <w:szCs w:val="32"/>
        </w:rPr>
        <w:t>1</w:t>
      </w:r>
      <w:r>
        <w:rPr>
          <w:rFonts w:hint="eastAsia" w:ascii="Times New Roman" w:hAnsi="Times New Roman" w:eastAsia="仿宋"/>
          <w:bCs/>
          <w:sz w:val="32"/>
          <w:szCs w:val="32"/>
        </w:rPr>
        <w:t>.5.1</w:t>
      </w:r>
      <w:r>
        <w:rPr>
          <w:rFonts w:ascii="Times New Roman" w:hAnsi="Times New Roman" w:eastAsia="仿宋"/>
          <w:bCs/>
          <w:sz w:val="32"/>
          <w:szCs w:val="32"/>
        </w:rPr>
        <w:t>披露时间</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在取得同意函、证券简称及证券代码后，主办券商应当及时协助申请人在财务报表有效期内的交易日20</w:t>
      </w:r>
      <w:r>
        <w:rPr>
          <w:rFonts w:hint="default" w:ascii="Times New Roman" w:hAnsi="Times New Roman" w:eastAsia="仿宋"/>
          <w:bCs/>
          <w:sz w:val="32"/>
          <w:szCs w:val="32"/>
          <w:lang w:val="en"/>
        </w:rPr>
        <w:t>:</w:t>
      </w:r>
      <w:r>
        <w:rPr>
          <w:rFonts w:ascii="Times New Roman" w:hAnsi="Times New Roman" w:eastAsia="仿宋"/>
          <w:bCs/>
          <w:sz w:val="32"/>
          <w:szCs w:val="32"/>
        </w:rPr>
        <w:t>00前通过BPM系统完成首次信息披露。</w:t>
      </w:r>
    </w:p>
    <w:p>
      <w:pPr>
        <w:spacing w:line="600" w:lineRule="exact"/>
        <w:ind w:firstLine="739" w:firstLineChars="231"/>
        <w:outlineLvl w:val="2"/>
        <w:rPr>
          <w:rFonts w:ascii="Times New Roman" w:hAnsi="Times New Roman" w:eastAsia="仿宋"/>
          <w:bCs/>
          <w:sz w:val="32"/>
          <w:szCs w:val="32"/>
        </w:rPr>
      </w:pPr>
      <w:r>
        <w:rPr>
          <w:rFonts w:ascii="Times New Roman" w:hAnsi="Times New Roman" w:eastAsia="仿宋"/>
          <w:bCs/>
          <w:sz w:val="32"/>
          <w:szCs w:val="32"/>
        </w:rPr>
        <w:t>1.5.2披露文件</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（1）公开转让说明书；</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（2）财务报表及审计报告；</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（3）法律意见书；</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（4）补充法律意见书（如有）；</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（5）公司章程；</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（6）主办券商推荐报告；</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 xml:space="preserve">（7）定向发行说明书（如有）； </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（8）</w:t>
      </w:r>
      <w:r>
        <w:rPr>
          <w:rFonts w:hint="eastAsia" w:ascii="Times New Roman" w:hAnsi="Times New Roman" w:eastAsia="仿宋"/>
          <w:bCs/>
          <w:sz w:val="32"/>
          <w:szCs w:val="32"/>
        </w:rPr>
        <w:t>申请人设立以来股本演变情况及董事监事高级管理人员确认意见</w:t>
      </w:r>
      <w:r>
        <w:rPr>
          <w:rFonts w:ascii="Times New Roman" w:hAnsi="Times New Roman" w:eastAsia="仿宋"/>
          <w:bCs/>
          <w:sz w:val="32"/>
          <w:szCs w:val="32"/>
        </w:rPr>
        <w:t>；</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 xml:space="preserve">（9）全国股转公司同意挂牌的函或全国股转公司同意挂牌及发行的函； </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（10）中国证监会</w:t>
      </w:r>
      <w:r>
        <w:rPr>
          <w:rFonts w:hint="eastAsia" w:ascii="Times New Roman" w:hAnsi="Times New Roman" w:eastAsia="仿宋"/>
          <w:bCs/>
          <w:sz w:val="32"/>
          <w:szCs w:val="32"/>
        </w:rPr>
        <w:t>注册</w:t>
      </w:r>
      <w:r>
        <w:rPr>
          <w:rFonts w:ascii="Times New Roman" w:hAnsi="Times New Roman" w:eastAsia="仿宋"/>
          <w:bCs/>
          <w:sz w:val="32"/>
          <w:szCs w:val="32"/>
        </w:rPr>
        <w:t xml:space="preserve">文件（如有）； </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（11）其他公告文件（如有）。</w:t>
      </w:r>
    </w:p>
    <w:p>
      <w:pPr>
        <w:spacing w:line="600" w:lineRule="exact"/>
        <w:ind w:firstLine="755" w:firstLineChars="236"/>
        <w:outlineLvl w:val="2"/>
        <w:rPr>
          <w:rFonts w:ascii="Times New Roman" w:hAnsi="Times New Roman" w:eastAsia="仿宋"/>
          <w:bCs/>
          <w:sz w:val="32"/>
          <w:szCs w:val="32"/>
        </w:rPr>
      </w:pPr>
      <w:r>
        <w:rPr>
          <w:rFonts w:ascii="Times New Roman" w:hAnsi="Times New Roman" w:eastAsia="仿宋"/>
          <w:bCs/>
          <w:sz w:val="32"/>
          <w:szCs w:val="32"/>
        </w:rPr>
        <w:t>1.5.3具体操作</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在确认申请文件已归档的前提下，主办券商应当协助申请人在</w:t>
      </w:r>
      <w:r>
        <w:rPr>
          <w:rFonts w:hint="default" w:ascii="Times New Roman" w:hAnsi="Times New Roman" w:eastAsia="仿宋" w:cs="Times New Roman"/>
          <w:bCs/>
          <w:sz w:val="32"/>
          <w:szCs w:val="32"/>
        </w:rPr>
        <w:t>BPM</w:t>
      </w:r>
      <w:r>
        <w:rPr>
          <w:rFonts w:hint="eastAsia" w:ascii="仿宋" w:hAnsi="仿宋" w:eastAsia="仿宋"/>
          <w:bCs/>
          <w:sz w:val="32"/>
          <w:szCs w:val="32"/>
        </w:rPr>
        <w:t>系统</w:t>
      </w:r>
      <w:r>
        <w:rPr>
          <w:rFonts w:ascii="仿宋" w:hAnsi="仿宋" w:eastAsia="仿宋"/>
          <w:bCs/>
          <w:sz w:val="32"/>
          <w:szCs w:val="32"/>
        </w:rPr>
        <w:t>“</w:t>
      </w:r>
      <w:r>
        <w:rPr>
          <w:rFonts w:hint="eastAsia" w:ascii="仿宋" w:hAnsi="仿宋" w:eastAsia="仿宋"/>
          <w:bCs/>
          <w:sz w:val="32"/>
          <w:szCs w:val="32"/>
        </w:rPr>
        <w:t>挂牌前信息披露</w:t>
      </w:r>
      <w:r>
        <w:rPr>
          <w:rFonts w:ascii="仿宋" w:hAnsi="仿宋" w:eastAsia="仿宋"/>
          <w:bCs/>
          <w:sz w:val="32"/>
          <w:szCs w:val="32"/>
        </w:rPr>
        <w:t>”</w:t>
      </w:r>
      <w:r>
        <w:rPr>
          <w:rFonts w:hint="eastAsia" w:ascii="仿宋" w:hAnsi="仿宋" w:eastAsia="仿宋"/>
          <w:bCs/>
          <w:sz w:val="32"/>
          <w:szCs w:val="32"/>
        </w:rPr>
        <w:t>模块中的</w:t>
      </w:r>
      <w:r>
        <w:rPr>
          <w:rFonts w:ascii="仿宋" w:hAnsi="仿宋" w:eastAsia="仿宋"/>
          <w:bCs/>
          <w:sz w:val="32"/>
          <w:szCs w:val="32"/>
        </w:rPr>
        <w:t>“</w:t>
      </w:r>
      <w:r>
        <w:rPr>
          <w:rFonts w:hint="eastAsia" w:ascii="仿宋" w:hAnsi="仿宋" w:eastAsia="仿宋"/>
          <w:bCs/>
          <w:sz w:val="32"/>
          <w:szCs w:val="32"/>
        </w:rPr>
        <w:t>待首次信息披露</w:t>
      </w:r>
      <w:r>
        <w:rPr>
          <w:rFonts w:ascii="仿宋" w:hAnsi="仿宋" w:eastAsia="仿宋"/>
          <w:bCs/>
          <w:sz w:val="32"/>
          <w:szCs w:val="32"/>
        </w:rPr>
        <w:t>”</w:t>
      </w:r>
      <w:r>
        <w:rPr>
          <w:rFonts w:hint="eastAsia" w:ascii="仿宋" w:hAnsi="仿宋" w:eastAsia="仿宋"/>
          <w:bCs/>
          <w:sz w:val="32"/>
          <w:szCs w:val="32"/>
        </w:rPr>
        <w:t>任务栏，找到待披露的项目，打开并点击</w:t>
      </w:r>
      <w:r>
        <w:rPr>
          <w:rFonts w:ascii="仿宋" w:hAnsi="仿宋" w:eastAsia="仿宋"/>
          <w:bCs/>
          <w:sz w:val="32"/>
          <w:szCs w:val="32"/>
        </w:rPr>
        <w:t>“</w:t>
      </w:r>
      <w:r>
        <w:rPr>
          <w:rFonts w:hint="eastAsia" w:ascii="仿宋" w:hAnsi="仿宋" w:eastAsia="仿宋"/>
          <w:bCs/>
          <w:sz w:val="32"/>
          <w:szCs w:val="32"/>
        </w:rPr>
        <w:t>处理</w:t>
      </w:r>
      <w:r>
        <w:rPr>
          <w:rFonts w:ascii="仿宋" w:hAnsi="仿宋" w:eastAsia="仿宋"/>
          <w:bCs/>
          <w:sz w:val="32"/>
          <w:szCs w:val="32"/>
        </w:rPr>
        <w:t>”</w:t>
      </w:r>
      <w:r>
        <w:rPr>
          <w:rFonts w:hint="eastAsia" w:ascii="仿宋" w:hAnsi="仿宋" w:eastAsia="仿宋"/>
          <w:bCs/>
          <w:sz w:val="32"/>
          <w:szCs w:val="32"/>
        </w:rPr>
        <w:t>进入传送公告页面。</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在传送公告页面，</w:t>
      </w:r>
      <w:r>
        <w:rPr>
          <w:rFonts w:hint="default" w:ascii="Times New Roman" w:hAnsi="Times New Roman" w:eastAsia="仿宋" w:cs="Times New Roman"/>
          <w:bCs/>
          <w:sz w:val="32"/>
          <w:szCs w:val="32"/>
        </w:rPr>
        <w:t>BPM</w:t>
      </w:r>
      <w:r>
        <w:rPr>
          <w:rFonts w:hint="eastAsia" w:ascii="仿宋" w:hAnsi="仿宋" w:eastAsia="仿宋"/>
          <w:bCs/>
          <w:sz w:val="32"/>
          <w:szCs w:val="32"/>
        </w:rPr>
        <w:t>系统将自动抓取披露文件</w:t>
      </w:r>
      <w:r>
        <w:rPr>
          <w:rFonts w:ascii="仿宋" w:hAnsi="仿宋" w:eastAsia="仿宋"/>
          <w:bCs/>
          <w:sz w:val="32"/>
          <w:szCs w:val="32"/>
        </w:rPr>
        <w:t>“</w:t>
      </w:r>
      <w:r>
        <w:rPr>
          <w:rFonts w:hint="eastAsia" w:ascii="仿宋" w:hAnsi="仿宋" w:eastAsia="仿宋"/>
          <w:bCs/>
          <w:sz w:val="32"/>
          <w:szCs w:val="32"/>
        </w:rPr>
        <w:t>（</w:t>
      </w:r>
      <w:r>
        <w:rPr>
          <w:rFonts w:hint="default" w:ascii="Times New Roman" w:hAnsi="Times New Roman" w:eastAsia="仿宋" w:cs="Times New Roman"/>
          <w:bCs/>
          <w:sz w:val="32"/>
          <w:szCs w:val="32"/>
        </w:rPr>
        <w:t>1</w:t>
      </w:r>
      <w:r>
        <w:rPr>
          <w:rFonts w:hint="eastAsia" w:ascii="仿宋" w:hAnsi="仿宋" w:eastAsia="仿宋"/>
          <w:bCs/>
          <w:sz w:val="32"/>
          <w:szCs w:val="32"/>
        </w:rPr>
        <w:t>）</w:t>
      </w:r>
      <w:r>
        <w:rPr>
          <w:rFonts w:ascii="仿宋" w:hAnsi="仿宋" w:eastAsia="仿宋"/>
          <w:bCs/>
          <w:sz w:val="32"/>
          <w:szCs w:val="32"/>
        </w:rPr>
        <w:t>-</w:t>
      </w:r>
      <w:r>
        <w:rPr>
          <w:rFonts w:hint="eastAsia" w:ascii="仿宋" w:hAnsi="仿宋" w:eastAsia="仿宋"/>
          <w:bCs/>
          <w:sz w:val="32"/>
          <w:szCs w:val="32"/>
        </w:rPr>
        <w:t>（</w:t>
      </w:r>
      <w:r>
        <w:rPr>
          <w:rFonts w:hint="default" w:ascii="Times New Roman" w:hAnsi="Times New Roman" w:eastAsia="仿宋" w:cs="Times New Roman"/>
          <w:bCs/>
          <w:sz w:val="32"/>
          <w:szCs w:val="32"/>
        </w:rPr>
        <w:t>8</w:t>
      </w:r>
      <w:r>
        <w:rPr>
          <w:rFonts w:hint="eastAsia" w:ascii="仿宋" w:hAnsi="仿宋" w:eastAsia="仿宋"/>
          <w:bCs/>
          <w:sz w:val="32"/>
          <w:szCs w:val="32"/>
        </w:rPr>
        <w:t>）</w:t>
      </w:r>
      <w:r>
        <w:rPr>
          <w:rFonts w:ascii="仿宋" w:hAnsi="仿宋" w:eastAsia="仿宋"/>
          <w:bCs/>
          <w:sz w:val="32"/>
          <w:szCs w:val="32"/>
        </w:rPr>
        <w:t>”</w:t>
      </w:r>
      <w:r>
        <w:rPr>
          <w:rFonts w:hint="eastAsia" w:ascii="仿宋" w:hAnsi="仿宋" w:eastAsia="仿宋"/>
          <w:bCs/>
          <w:sz w:val="32"/>
          <w:szCs w:val="32"/>
        </w:rPr>
        <w:t>列示的归档稿文件，主办券商应当协助申请人上传同意函等其他披露文件；确认无误后，选择披露日期，点击</w:t>
      </w:r>
      <w:r>
        <w:rPr>
          <w:rFonts w:ascii="仿宋" w:hAnsi="仿宋" w:eastAsia="仿宋"/>
          <w:bCs/>
          <w:sz w:val="32"/>
          <w:szCs w:val="32"/>
        </w:rPr>
        <w:t>“</w:t>
      </w:r>
      <w:r>
        <w:rPr>
          <w:rFonts w:hint="eastAsia" w:ascii="仿宋" w:hAnsi="仿宋" w:eastAsia="仿宋"/>
          <w:bCs/>
          <w:sz w:val="32"/>
          <w:szCs w:val="32"/>
        </w:rPr>
        <w:t>报告报送</w:t>
      </w:r>
      <w:r>
        <w:rPr>
          <w:rFonts w:ascii="仿宋" w:hAnsi="仿宋" w:eastAsia="仿宋"/>
          <w:bCs/>
          <w:sz w:val="32"/>
          <w:szCs w:val="32"/>
        </w:rPr>
        <w:t>”</w:t>
      </w:r>
      <w:r>
        <w:rPr>
          <w:rFonts w:hint="eastAsia" w:ascii="仿宋" w:hAnsi="仿宋" w:eastAsia="仿宋"/>
          <w:bCs/>
          <w:sz w:val="32"/>
          <w:szCs w:val="32"/>
        </w:rPr>
        <w:t>，披露文件将于选定的交易日</w:t>
      </w:r>
      <w:r>
        <w:rPr>
          <w:rFonts w:hint="default" w:ascii="Times New Roman" w:hAnsi="Times New Roman" w:eastAsia="仿宋" w:cs="Times New Roman"/>
          <w:bCs/>
          <w:sz w:val="32"/>
          <w:szCs w:val="32"/>
        </w:rPr>
        <w:t>15</w:t>
      </w:r>
      <w:r>
        <w:rPr>
          <w:rFonts w:hint="default" w:ascii="Times New Roman" w:hAnsi="Times New Roman" w:eastAsia="仿宋" w:cs="Times New Roman"/>
          <w:bCs/>
          <w:sz w:val="32"/>
          <w:szCs w:val="32"/>
          <w:lang w:val="en"/>
        </w:rPr>
        <w:t>:</w:t>
      </w:r>
      <w:r>
        <w:rPr>
          <w:rFonts w:hint="default" w:ascii="Times New Roman" w:hAnsi="Times New Roman" w:eastAsia="仿宋" w:cs="Times New Roman"/>
          <w:bCs/>
          <w:sz w:val="32"/>
          <w:szCs w:val="32"/>
        </w:rPr>
        <w:t>30</w:t>
      </w:r>
      <w:r>
        <w:rPr>
          <w:rFonts w:hint="eastAsia" w:ascii="仿宋" w:hAnsi="仿宋" w:eastAsia="仿宋"/>
          <w:bCs/>
          <w:sz w:val="32"/>
          <w:szCs w:val="32"/>
        </w:rPr>
        <w:t>后在</w:t>
      </w:r>
      <w:r>
        <w:rPr>
          <w:rFonts w:hint="default" w:ascii="Times New Roman" w:hAnsi="Times New Roman" w:eastAsia="仿宋" w:cs="Times New Roman"/>
          <w:bCs/>
          <w:sz w:val="32"/>
          <w:szCs w:val="32"/>
        </w:rPr>
        <w:t>www.neeq.com.cn</w:t>
      </w:r>
      <w:r>
        <w:rPr>
          <w:rFonts w:hint="eastAsia" w:ascii="仿宋" w:hAnsi="仿宋" w:eastAsia="仿宋"/>
          <w:bCs/>
          <w:sz w:val="32"/>
          <w:szCs w:val="32"/>
        </w:rPr>
        <w:t>或</w:t>
      </w:r>
      <w:r>
        <w:rPr>
          <w:rFonts w:hint="default" w:ascii="Times New Roman" w:hAnsi="Times New Roman" w:eastAsia="仿宋" w:cs="Times New Roman"/>
          <w:bCs/>
          <w:sz w:val="32"/>
          <w:szCs w:val="32"/>
        </w:rPr>
        <w:t>www.neeq.cc</w:t>
      </w:r>
      <w:r>
        <w:rPr>
          <w:rFonts w:hint="eastAsia" w:ascii="仿宋" w:hAnsi="仿宋" w:eastAsia="仿宋"/>
          <w:bCs/>
          <w:sz w:val="32"/>
          <w:szCs w:val="32"/>
        </w:rPr>
        <w:t>上进行披露。</w:t>
      </w:r>
    </w:p>
    <w:p>
      <w:pPr>
        <w:spacing w:line="600" w:lineRule="exact"/>
        <w:ind w:firstLine="640" w:firstLineChars="200"/>
        <w:outlineLvl w:val="1"/>
        <w:rPr>
          <w:rFonts w:ascii="Times New Roman" w:hAnsi="Times New Roman" w:eastAsia="楷体"/>
          <w:bCs/>
          <w:sz w:val="32"/>
          <w:szCs w:val="32"/>
        </w:rPr>
      </w:pPr>
      <w:r>
        <w:rPr>
          <w:rFonts w:hint="eastAsia" w:ascii="Times New Roman" w:hAnsi="Times New Roman" w:eastAsia="楷体"/>
          <w:bCs/>
          <w:sz w:val="32"/>
          <w:szCs w:val="32"/>
        </w:rPr>
        <w:t>1</w:t>
      </w:r>
      <w:r>
        <w:rPr>
          <w:rFonts w:ascii="Times New Roman" w:hAnsi="Times New Roman" w:eastAsia="楷体"/>
          <w:bCs/>
          <w:sz w:val="32"/>
          <w:szCs w:val="32"/>
        </w:rPr>
        <w:t>.6定向发行认购程序（如有）</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申请挂牌同时定向发行的，在取得同意函并完成首次信息披露后，主办券商应当协助申请人按照《全国中小企业股份转让系统股票定向发行</w:t>
      </w:r>
      <w:r>
        <w:rPr>
          <w:rFonts w:hint="eastAsia" w:ascii="Times New Roman" w:hAnsi="Times New Roman" w:eastAsia="仿宋"/>
          <w:bCs/>
          <w:sz w:val="32"/>
          <w:szCs w:val="32"/>
        </w:rPr>
        <w:t>业务</w:t>
      </w:r>
      <w:r>
        <w:rPr>
          <w:rFonts w:ascii="Times New Roman" w:hAnsi="Times New Roman" w:eastAsia="仿宋"/>
          <w:bCs/>
          <w:sz w:val="32"/>
          <w:szCs w:val="32"/>
        </w:rPr>
        <w:t>指南》</w:t>
      </w:r>
      <w:r>
        <w:rPr>
          <w:rFonts w:hint="eastAsia" w:ascii="Times New Roman" w:hAnsi="Times New Roman" w:eastAsia="仿宋"/>
          <w:bCs/>
          <w:sz w:val="32"/>
          <w:szCs w:val="32"/>
        </w:rPr>
        <w:t>等规则</w:t>
      </w:r>
      <w:r>
        <w:rPr>
          <w:rFonts w:ascii="Times New Roman" w:hAnsi="Times New Roman" w:eastAsia="仿宋"/>
          <w:bCs/>
          <w:sz w:val="32"/>
          <w:szCs w:val="32"/>
        </w:rPr>
        <w:t>的要求完成认购与缴款、签订募集资金专户三方监管协议与验资等发行程序。</w:t>
      </w:r>
    </w:p>
    <w:p>
      <w:pPr>
        <w:spacing w:line="600" w:lineRule="exact"/>
        <w:ind w:firstLine="640" w:firstLineChars="200"/>
        <w:outlineLvl w:val="1"/>
        <w:rPr>
          <w:rFonts w:ascii="Times New Roman" w:hAnsi="Times New Roman" w:eastAsia="楷体"/>
          <w:bCs/>
          <w:sz w:val="32"/>
          <w:szCs w:val="32"/>
        </w:rPr>
      </w:pPr>
      <w:r>
        <w:rPr>
          <w:rFonts w:hint="eastAsia" w:ascii="Times New Roman" w:hAnsi="Times New Roman" w:eastAsia="楷体"/>
          <w:bCs/>
          <w:sz w:val="32"/>
          <w:szCs w:val="32"/>
        </w:rPr>
        <w:t>1</w:t>
      </w:r>
      <w:r>
        <w:rPr>
          <w:rFonts w:ascii="Times New Roman" w:hAnsi="Times New Roman" w:eastAsia="楷体"/>
          <w:bCs/>
          <w:sz w:val="32"/>
          <w:szCs w:val="32"/>
        </w:rPr>
        <w:t>.7</w:t>
      </w:r>
      <w:r>
        <w:rPr>
          <w:rFonts w:hint="eastAsia" w:ascii="Times New Roman" w:hAnsi="Times New Roman" w:eastAsia="楷体"/>
          <w:bCs/>
          <w:sz w:val="32"/>
          <w:szCs w:val="32"/>
        </w:rPr>
        <w:t>申请</w:t>
      </w:r>
      <w:r>
        <w:rPr>
          <w:rFonts w:ascii="Times New Roman" w:hAnsi="Times New Roman" w:eastAsia="楷体"/>
          <w:bCs/>
          <w:sz w:val="32"/>
          <w:szCs w:val="32"/>
        </w:rPr>
        <w:t>股票初始登记</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w:t>
      </w:r>
      <w:r>
        <w:rPr>
          <w:rFonts w:hint="eastAsia" w:ascii="Times New Roman" w:hAnsi="Times New Roman" w:eastAsia="仿宋"/>
          <w:bCs/>
          <w:sz w:val="32"/>
          <w:szCs w:val="32"/>
        </w:rPr>
        <w:t>.7.1完成首次信息披露及定向发行认购程序（如有）后，申请人应当及时向全国股转公司提交挂牌协议。</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1.7.2主办券商应当协助申请人根据《公司法》《证券法》</w:t>
      </w:r>
      <w:r>
        <w:rPr>
          <w:rFonts w:hint="eastAsia" w:ascii="Times New Roman" w:hAnsi="Times New Roman" w:eastAsia="仿宋"/>
          <w:bCs/>
          <w:sz w:val="32"/>
          <w:szCs w:val="32"/>
        </w:rPr>
        <w:t>《</w:t>
      </w:r>
      <w:r>
        <w:rPr>
          <w:rFonts w:ascii="Times New Roman" w:hAnsi="Times New Roman" w:eastAsia="仿宋"/>
          <w:bCs/>
          <w:sz w:val="32"/>
          <w:szCs w:val="32"/>
        </w:rPr>
        <w:t>全国中小企业股份转让系统</w:t>
      </w:r>
      <w:r>
        <w:rPr>
          <w:rFonts w:hint="eastAsia" w:ascii="Times New Roman" w:hAnsi="Times New Roman" w:eastAsia="仿宋"/>
          <w:bCs/>
          <w:sz w:val="32"/>
          <w:szCs w:val="32"/>
        </w:rPr>
        <w:t>股票</w:t>
      </w:r>
      <w:r>
        <w:rPr>
          <w:rFonts w:ascii="Times New Roman" w:hAnsi="Times New Roman" w:eastAsia="仿宋"/>
          <w:bCs/>
          <w:sz w:val="32"/>
          <w:szCs w:val="32"/>
        </w:rPr>
        <w:t>挂牌规则》《全国中小企业股份转让系统股票定向发行规则》等法律法规、业务规则的规定及自愿限售情况准确计算挂牌当日可进入全国股转系统交易的股票数量</w:t>
      </w:r>
      <w:r>
        <w:rPr>
          <w:rFonts w:hint="eastAsia" w:ascii="Times New Roman" w:hAnsi="Times New Roman" w:eastAsia="仿宋"/>
          <w:bCs/>
          <w:sz w:val="32"/>
          <w:szCs w:val="32"/>
        </w:rPr>
        <w:t>，</w:t>
      </w:r>
      <w:r>
        <w:rPr>
          <w:rFonts w:ascii="Times New Roman" w:hAnsi="Times New Roman" w:eastAsia="仿宋"/>
          <w:bCs/>
          <w:sz w:val="32"/>
          <w:szCs w:val="32"/>
        </w:rPr>
        <w:t>并在</w:t>
      </w:r>
      <w:r>
        <w:rPr>
          <w:rFonts w:hint="eastAsia" w:ascii="Times New Roman" w:hAnsi="Times New Roman" w:eastAsia="仿宋"/>
          <w:bCs/>
          <w:sz w:val="32"/>
          <w:szCs w:val="32"/>
        </w:rPr>
        <w:t>BPM系统填报申请人股票拟进入的市场层级。</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1.7.3</w:t>
      </w:r>
      <w:r>
        <w:rPr>
          <w:rFonts w:hint="eastAsia" w:ascii="仿宋" w:hAnsi="仿宋" w:eastAsia="仿宋"/>
          <w:bCs/>
          <w:sz w:val="32"/>
          <w:szCs w:val="32"/>
        </w:rPr>
        <w:t>主办券商应当协助申请人在</w:t>
      </w:r>
      <w:r>
        <w:rPr>
          <w:rFonts w:hint="default" w:ascii="Times New Roman" w:hAnsi="Times New Roman" w:eastAsia="仿宋" w:cs="Times New Roman"/>
          <w:bCs/>
          <w:sz w:val="32"/>
          <w:szCs w:val="32"/>
        </w:rPr>
        <w:t>BPM</w:t>
      </w:r>
      <w:r>
        <w:rPr>
          <w:rFonts w:hint="eastAsia" w:ascii="仿宋" w:hAnsi="仿宋" w:eastAsia="仿宋"/>
          <w:bCs/>
          <w:sz w:val="32"/>
          <w:szCs w:val="32"/>
        </w:rPr>
        <w:t>系统</w:t>
      </w:r>
      <w:r>
        <w:rPr>
          <w:rFonts w:ascii="仿宋" w:hAnsi="仿宋" w:eastAsia="仿宋"/>
          <w:bCs/>
          <w:sz w:val="32"/>
          <w:szCs w:val="32"/>
        </w:rPr>
        <w:t>“</w:t>
      </w:r>
      <w:r>
        <w:rPr>
          <w:rFonts w:hint="eastAsia" w:ascii="仿宋" w:hAnsi="仿宋" w:eastAsia="仿宋"/>
          <w:bCs/>
          <w:sz w:val="32"/>
          <w:szCs w:val="32"/>
        </w:rPr>
        <w:t>股票初始登记管理</w:t>
      </w:r>
      <w:r>
        <w:rPr>
          <w:rFonts w:ascii="仿宋" w:hAnsi="仿宋" w:eastAsia="仿宋"/>
          <w:bCs/>
          <w:sz w:val="32"/>
          <w:szCs w:val="32"/>
        </w:rPr>
        <w:t>”</w:t>
      </w:r>
      <w:r>
        <w:rPr>
          <w:rFonts w:hint="eastAsia" w:ascii="仿宋" w:hAnsi="仿宋" w:eastAsia="仿宋"/>
          <w:bCs/>
          <w:sz w:val="32"/>
          <w:szCs w:val="32"/>
        </w:rPr>
        <w:t>模块中的</w:t>
      </w:r>
      <w:r>
        <w:rPr>
          <w:rFonts w:ascii="仿宋" w:hAnsi="仿宋" w:eastAsia="仿宋"/>
          <w:bCs/>
          <w:sz w:val="32"/>
          <w:szCs w:val="32"/>
        </w:rPr>
        <w:t>“</w:t>
      </w:r>
      <w:r>
        <w:rPr>
          <w:rFonts w:hint="eastAsia" w:ascii="仿宋" w:hAnsi="仿宋" w:eastAsia="仿宋"/>
          <w:bCs/>
          <w:sz w:val="32"/>
          <w:szCs w:val="32"/>
        </w:rPr>
        <w:t>待提交初始登记申请列表</w:t>
      </w:r>
      <w:r>
        <w:rPr>
          <w:rFonts w:ascii="仿宋" w:hAnsi="仿宋" w:eastAsia="仿宋"/>
          <w:bCs/>
          <w:sz w:val="32"/>
          <w:szCs w:val="32"/>
        </w:rPr>
        <w:t>”</w:t>
      </w:r>
      <w:r>
        <w:rPr>
          <w:rFonts w:hint="eastAsia" w:ascii="仿宋" w:hAnsi="仿宋" w:eastAsia="仿宋"/>
          <w:bCs/>
          <w:sz w:val="32"/>
          <w:szCs w:val="32"/>
        </w:rPr>
        <w:t>上传股票初始登记申请表，该表格为办理股票初始登记的依据，应当与申请人首</w:t>
      </w:r>
      <w:r>
        <w:rPr>
          <w:rFonts w:hint="eastAsia" w:ascii="Times New Roman" w:hAnsi="Times New Roman" w:eastAsia="仿宋"/>
          <w:bCs/>
          <w:sz w:val="32"/>
          <w:szCs w:val="32"/>
        </w:rPr>
        <w:t>次</w:t>
      </w:r>
      <w:r>
        <w:rPr>
          <w:rFonts w:ascii="Times New Roman" w:hAnsi="Times New Roman" w:eastAsia="仿宋"/>
          <w:bCs/>
          <w:sz w:val="32"/>
          <w:szCs w:val="32"/>
        </w:rPr>
        <w:t>信息披露和</w:t>
      </w:r>
      <w:r>
        <w:rPr>
          <w:rFonts w:hint="eastAsia" w:ascii="Times New Roman" w:hAnsi="Times New Roman" w:eastAsia="仿宋"/>
          <w:bCs/>
          <w:sz w:val="32"/>
          <w:szCs w:val="32"/>
        </w:rPr>
        <w:t>定向</w:t>
      </w:r>
      <w:r>
        <w:rPr>
          <w:rFonts w:ascii="Times New Roman" w:hAnsi="Times New Roman" w:eastAsia="仿宋"/>
          <w:bCs/>
          <w:sz w:val="32"/>
          <w:szCs w:val="32"/>
        </w:rPr>
        <w:t>发行后披露信息（如有）保持一致。</w:t>
      </w:r>
      <w:r>
        <w:rPr>
          <w:rFonts w:ascii="仿宋" w:hAnsi="仿宋" w:eastAsia="仿宋"/>
          <w:bCs/>
          <w:sz w:val="32"/>
          <w:szCs w:val="32"/>
        </w:rPr>
        <w:t>股票初始登记申请表</w:t>
      </w:r>
      <w:r>
        <w:rPr>
          <w:rFonts w:ascii="Times New Roman" w:hAnsi="Times New Roman" w:eastAsia="仿宋"/>
          <w:bCs/>
          <w:sz w:val="32"/>
          <w:szCs w:val="32"/>
        </w:rPr>
        <w:t>信息</w:t>
      </w:r>
      <w:r>
        <w:rPr>
          <w:rFonts w:hint="eastAsia" w:ascii="Times New Roman" w:hAnsi="Times New Roman" w:eastAsia="仿宋"/>
          <w:bCs/>
          <w:sz w:val="32"/>
          <w:szCs w:val="32"/>
        </w:rPr>
        <w:t>填报</w:t>
      </w:r>
      <w:r>
        <w:rPr>
          <w:rFonts w:ascii="Times New Roman" w:hAnsi="Times New Roman" w:eastAsia="仿宋"/>
          <w:bCs/>
          <w:sz w:val="32"/>
          <w:szCs w:val="32"/>
        </w:rPr>
        <w:t>有误被驳回的，</w:t>
      </w:r>
      <w:r>
        <w:rPr>
          <w:rFonts w:hint="eastAsia" w:ascii="Times New Roman" w:hAnsi="Times New Roman" w:eastAsia="仿宋"/>
          <w:bCs/>
          <w:sz w:val="32"/>
          <w:szCs w:val="32"/>
        </w:rPr>
        <w:t>主办券商</w:t>
      </w:r>
      <w:r>
        <w:rPr>
          <w:rFonts w:ascii="Times New Roman" w:hAnsi="Times New Roman" w:eastAsia="仿宋"/>
          <w:bCs/>
          <w:sz w:val="32"/>
          <w:szCs w:val="32"/>
        </w:rPr>
        <w:t>应当协助申请人修改后重新上传。</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1.7.4申请挂牌同时定向发行的，应</w:t>
      </w:r>
      <w:r>
        <w:rPr>
          <w:rFonts w:hint="eastAsia" w:ascii="Times New Roman" w:hAnsi="Times New Roman" w:eastAsia="仿宋"/>
          <w:bCs/>
          <w:sz w:val="32"/>
          <w:szCs w:val="32"/>
        </w:rPr>
        <w:t>当</w:t>
      </w:r>
      <w:r>
        <w:rPr>
          <w:rFonts w:ascii="Times New Roman" w:hAnsi="Times New Roman" w:eastAsia="仿宋"/>
          <w:bCs/>
          <w:sz w:val="32"/>
          <w:szCs w:val="32"/>
        </w:rPr>
        <w:t>在股票初始登记申请表中根据定向发行前后</w:t>
      </w:r>
      <w:r>
        <w:rPr>
          <w:rFonts w:hint="eastAsia" w:ascii="Times New Roman" w:hAnsi="Times New Roman" w:eastAsia="仿宋"/>
          <w:bCs/>
          <w:sz w:val="32"/>
          <w:szCs w:val="32"/>
        </w:rPr>
        <w:t>股票</w:t>
      </w:r>
      <w:r>
        <w:rPr>
          <w:rFonts w:ascii="Times New Roman" w:hAnsi="Times New Roman" w:eastAsia="仿宋"/>
          <w:bCs/>
          <w:sz w:val="32"/>
          <w:szCs w:val="32"/>
        </w:rPr>
        <w:t>情况分别填报。</w:t>
      </w:r>
      <w:r>
        <w:rPr>
          <w:rFonts w:hint="eastAsia" w:ascii="Times New Roman" w:hAnsi="Times New Roman" w:eastAsia="仿宋"/>
          <w:bCs/>
          <w:sz w:val="32"/>
          <w:szCs w:val="32"/>
        </w:rPr>
        <w:t>主办券商在</w:t>
      </w:r>
      <w:r>
        <w:rPr>
          <w:rFonts w:ascii="Times New Roman" w:hAnsi="Times New Roman" w:eastAsia="仿宋"/>
          <w:bCs/>
          <w:sz w:val="32"/>
          <w:szCs w:val="32"/>
        </w:rPr>
        <w:t>协助申请人上传初始登记申请表的同时，</w:t>
      </w:r>
      <w:r>
        <w:rPr>
          <w:rFonts w:hint="eastAsia" w:ascii="Times New Roman" w:hAnsi="Times New Roman" w:eastAsia="仿宋"/>
          <w:bCs/>
          <w:sz w:val="32"/>
          <w:szCs w:val="32"/>
        </w:rPr>
        <w:t>应当</w:t>
      </w:r>
      <w:r>
        <w:rPr>
          <w:rFonts w:ascii="Times New Roman" w:hAnsi="Times New Roman" w:eastAsia="仿宋"/>
          <w:bCs/>
          <w:sz w:val="32"/>
          <w:szCs w:val="32"/>
        </w:rPr>
        <w:t>按照《全国中小企业股份转让系统股票定向发行</w:t>
      </w:r>
      <w:r>
        <w:rPr>
          <w:rFonts w:hint="eastAsia" w:ascii="Times New Roman" w:hAnsi="Times New Roman" w:eastAsia="仿宋"/>
          <w:bCs/>
          <w:sz w:val="32"/>
          <w:szCs w:val="32"/>
        </w:rPr>
        <w:t>业务</w:t>
      </w:r>
      <w:r>
        <w:rPr>
          <w:rFonts w:ascii="Times New Roman" w:hAnsi="Times New Roman" w:eastAsia="仿宋"/>
          <w:bCs/>
          <w:sz w:val="32"/>
          <w:szCs w:val="32"/>
        </w:rPr>
        <w:t>指南》</w:t>
      </w:r>
      <w:r>
        <w:rPr>
          <w:rFonts w:hint="eastAsia" w:ascii="Times New Roman" w:hAnsi="Times New Roman" w:eastAsia="仿宋"/>
          <w:bCs/>
          <w:sz w:val="32"/>
          <w:szCs w:val="32"/>
        </w:rPr>
        <w:t>等业务规则</w:t>
      </w:r>
      <w:r>
        <w:rPr>
          <w:rFonts w:ascii="Times New Roman" w:hAnsi="Times New Roman" w:eastAsia="仿宋"/>
          <w:bCs/>
          <w:sz w:val="32"/>
          <w:szCs w:val="32"/>
        </w:rPr>
        <w:t>的要求，上传下列附件：验资报告、募集资金专户三方监管协议、自愿限售申请材料（如有）、定向发行重大事项确认函等文件。</w:t>
      </w:r>
    </w:p>
    <w:p>
      <w:pPr>
        <w:spacing w:line="600" w:lineRule="exact"/>
        <w:ind w:firstLine="640" w:firstLineChars="200"/>
        <w:outlineLvl w:val="1"/>
        <w:rPr>
          <w:rFonts w:ascii="Times New Roman" w:hAnsi="Times New Roman" w:eastAsia="楷体"/>
          <w:bCs/>
          <w:sz w:val="32"/>
          <w:szCs w:val="32"/>
        </w:rPr>
      </w:pPr>
      <w:r>
        <w:rPr>
          <w:rFonts w:hint="eastAsia" w:ascii="Times New Roman" w:hAnsi="Times New Roman" w:eastAsia="楷体"/>
          <w:bCs/>
          <w:sz w:val="32"/>
          <w:szCs w:val="32"/>
        </w:rPr>
        <w:t>1</w:t>
      </w:r>
      <w:r>
        <w:rPr>
          <w:rFonts w:ascii="Times New Roman" w:hAnsi="Times New Roman" w:eastAsia="楷体"/>
          <w:bCs/>
          <w:sz w:val="32"/>
          <w:szCs w:val="32"/>
        </w:rPr>
        <w:t>.8披露发行情况报告书、进入创新层意见（如有）</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申请挂牌同时定向发行的，主办券商在协助申请人上传股票初始登记申请表的同时，应当按照《全国中小企业股份转让系统股票定向发行</w:t>
      </w:r>
      <w:r>
        <w:rPr>
          <w:rFonts w:hint="eastAsia" w:ascii="Times New Roman" w:hAnsi="Times New Roman" w:eastAsia="仿宋"/>
          <w:bCs/>
          <w:sz w:val="32"/>
          <w:szCs w:val="32"/>
        </w:rPr>
        <w:t>业务</w:t>
      </w:r>
      <w:r>
        <w:rPr>
          <w:rFonts w:ascii="Times New Roman" w:hAnsi="Times New Roman" w:eastAsia="仿宋"/>
          <w:bCs/>
          <w:sz w:val="32"/>
          <w:szCs w:val="32"/>
        </w:rPr>
        <w:t>指南》</w:t>
      </w:r>
      <w:r>
        <w:rPr>
          <w:rFonts w:hint="eastAsia" w:ascii="Times New Roman" w:hAnsi="Times New Roman" w:eastAsia="仿宋"/>
          <w:bCs/>
          <w:sz w:val="32"/>
          <w:szCs w:val="32"/>
        </w:rPr>
        <w:t>等业务规则</w:t>
      </w:r>
      <w:r>
        <w:rPr>
          <w:rFonts w:ascii="Times New Roman" w:hAnsi="Times New Roman" w:eastAsia="仿宋"/>
          <w:bCs/>
          <w:sz w:val="32"/>
          <w:szCs w:val="32"/>
        </w:rPr>
        <w:t>的要求，上传并披露发行情况报告书、主办券商关于申请人是否符合创新层条件的专项意见（如有），上述文件经全国股转公司确认后披露。</w:t>
      </w:r>
    </w:p>
    <w:p>
      <w:pPr>
        <w:spacing w:line="600" w:lineRule="exact"/>
        <w:ind w:firstLine="640" w:firstLineChars="200"/>
        <w:outlineLvl w:val="1"/>
        <w:rPr>
          <w:rFonts w:ascii="Times New Roman" w:hAnsi="Times New Roman" w:eastAsia="楷体"/>
          <w:bCs/>
          <w:sz w:val="32"/>
          <w:szCs w:val="32"/>
        </w:rPr>
      </w:pPr>
      <w:r>
        <w:rPr>
          <w:rFonts w:hint="eastAsia" w:ascii="Times New Roman" w:hAnsi="Times New Roman" w:eastAsia="楷体"/>
          <w:bCs/>
          <w:sz w:val="32"/>
          <w:szCs w:val="32"/>
        </w:rPr>
        <w:t>1</w:t>
      </w:r>
      <w:r>
        <w:rPr>
          <w:rFonts w:ascii="Times New Roman" w:hAnsi="Times New Roman" w:eastAsia="楷体"/>
          <w:bCs/>
          <w:sz w:val="32"/>
          <w:szCs w:val="32"/>
        </w:rPr>
        <w:t>.9完成缴费</w:t>
      </w:r>
    </w:p>
    <w:p>
      <w:pPr>
        <w:spacing w:line="600" w:lineRule="exact"/>
        <w:ind w:firstLine="713" w:firstLineChars="223"/>
        <w:outlineLvl w:val="2"/>
        <w:rPr>
          <w:rFonts w:ascii="Times New Roman" w:hAnsi="Times New Roman" w:eastAsia="仿宋"/>
          <w:bCs/>
          <w:sz w:val="32"/>
          <w:szCs w:val="32"/>
        </w:rPr>
      </w:pPr>
      <w:r>
        <w:rPr>
          <w:rFonts w:ascii="Times New Roman" w:hAnsi="Times New Roman" w:eastAsia="仿宋"/>
          <w:bCs/>
          <w:sz w:val="32"/>
          <w:szCs w:val="32"/>
        </w:rPr>
        <w:t>1.9.1缴费时限</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全国股转公司对申请人提交的股票初始登记申请表及相关附件予以确认后，按照初始登记的股份情况为申请人生成缴费通知单。在缴费通知单生成后，主办券商应当及时协助申请人完成缴费。实行暂免征收挂牌费用的申请人按照相关政策执行。</w:t>
      </w:r>
    </w:p>
    <w:p>
      <w:pPr>
        <w:spacing w:line="600" w:lineRule="exact"/>
        <w:ind w:firstLine="726" w:firstLineChars="227"/>
        <w:outlineLvl w:val="2"/>
        <w:rPr>
          <w:rFonts w:ascii="Times New Roman" w:hAnsi="Times New Roman" w:eastAsia="仿宋"/>
          <w:bCs/>
          <w:sz w:val="32"/>
          <w:szCs w:val="32"/>
        </w:rPr>
      </w:pPr>
      <w:r>
        <w:rPr>
          <w:rFonts w:ascii="Times New Roman" w:hAnsi="Times New Roman" w:eastAsia="仿宋"/>
          <w:bCs/>
          <w:sz w:val="32"/>
          <w:szCs w:val="32"/>
        </w:rPr>
        <w:t>1.9.2具体操作</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主办券商应当协助申请人在</w:t>
      </w:r>
      <w:r>
        <w:rPr>
          <w:rFonts w:hint="default" w:ascii="Times New Roman" w:hAnsi="Times New Roman" w:eastAsia="仿宋" w:cs="Times New Roman"/>
          <w:bCs/>
          <w:sz w:val="32"/>
          <w:szCs w:val="32"/>
        </w:rPr>
        <w:t>BPM</w:t>
      </w:r>
      <w:r>
        <w:rPr>
          <w:rFonts w:hint="eastAsia" w:ascii="仿宋" w:hAnsi="仿宋" w:eastAsia="仿宋"/>
          <w:bCs/>
          <w:sz w:val="32"/>
          <w:szCs w:val="32"/>
        </w:rPr>
        <w:t>系统</w:t>
      </w:r>
      <w:r>
        <w:rPr>
          <w:rFonts w:ascii="仿宋" w:hAnsi="仿宋" w:eastAsia="仿宋"/>
          <w:bCs/>
          <w:sz w:val="32"/>
          <w:szCs w:val="32"/>
        </w:rPr>
        <w:t>“</w:t>
      </w:r>
      <w:r>
        <w:rPr>
          <w:rFonts w:hint="eastAsia" w:ascii="仿宋" w:hAnsi="仿宋" w:eastAsia="仿宋"/>
          <w:bCs/>
          <w:sz w:val="32"/>
          <w:szCs w:val="32"/>
        </w:rPr>
        <w:t>挂牌缴费管理</w:t>
      </w:r>
      <w:r>
        <w:rPr>
          <w:rFonts w:ascii="仿宋" w:hAnsi="仿宋" w:eastAsia="仿宋"/>
          <w:bCs/>
          <w:sz w:val="32"/>
          <w:szCs w:val="32"/>
        </w:rPr>
        <w:t>”</w:t>
      </w:r>
      <w:r>
        <w:rPr>
          <w:rFonts w:hint="eastAsia" w:ascii="仿宋" w:hAnsi="仿宋" w:eastAsia="仿宋"/>
          <w:bCs/>
          <w:sz w:val="32"/>
          <w:szCs w:val="32"/>
        </w:rPr>
        <w:t>模块中的</w:t>
      </w:r>
      <w:r>
        <w:rPr>
          <w:rFonts w:ascii="仿宋" w:hAnsi="仿宋" w:eastAsia="仿宋"/>
          <w:bCs/>
          <w:sz w:val="32"/>
          <w:szCs w:val="32"/>
        </w:rPr>
        <w:t>“</w:t>
      </w:r>
      <w:r>
        <w:rPr>
          <w:rFonts w:hint="eastAsia" w:ascii="仿宋" w:hAnsi="仿宋" w:eastAsia="仿宋"/>
          <w:bCs/>
          <w:sz w:val="32"/>
          <w:szCs w:val="32"/>
        </w:rPr>
        <w:t>待缴费</w:t>
      </w:r>
      <w:r>
        <w:rPr>
          <w:rFonts w:ascii="仿宋" w:hAnsi="仿宋" w:eastAsia="仿宋"/>
          <w:bCs/>
          <w:sz w:val="32"/>
          <w:szCs w:val="32"/>
        </w:rPr>
        <w:t>”</w:t>
      </w:r>
      <w:r>
        <w:rPr>
          <w:rFonts w:hint="eastAsia" w:ascii="仿宋" w:hAnsi="仿宋" w:eastAsia="仿宋"/>
          <w:bCs/>
          <w:sz w:val="32"/>
          <w:szCs w:val="32"/>
        </w:rPr>
        <w:t>任务栏找到已经获得同意函的项目，首先确认纳税人识别号、银行账号等涉税信息，然后点击</w:t>
      </w:r>
      <w:r>
        <w:rPr>
          <w:rFonts w:ascii="仿宋" w:hAnsi="仿宋" w:eastAsia="仿宋"/>
          <w:bCs/>
          <w:sz w:val="32"/>
          <w:szCs w:val="32"/>
        </w:rPr>
        <w:t>“</w:t>
      </w:r>
      <w:r>
        <w:rPr>
          <w:rFonts w:hint="eastAsia" w:ascii="仿宋" w:hAnsi="仿宋" w:eastAsia="仿宋"/>
          <w:bCs/>
          <w:sz w:val="32"/>
          <w:szCs w:val="32"/>
        </w:rPr>
        <w:t>缴费编号</w:t>
      </w:r>
      <w:r>
        <w:rPr>
          <w:rFonts w:ascii="仿宋" w:hAnsi="仿宋" w:eastAsia="仿宋"/>
          <w:bCs/>
          <w:sz w:val="32"/>
          <w:szCs w:val="32"/>
        </w:rPr>
        <w:t>”</w:t>
      </w:r>
      <w:r>
        <w:rPr>
          <w:rFonts w:hint="eastAsia" w:ascii="仿宋" w:hAnsi="仿宋" w:eastAsia="仿宋"/>
          <w:bCs/>
          <w:sz w:val="32"/>
          <w:szCs w:val="32"/>
        </w:rPr>
        <w:t>确认缴费信息。完成缴费是办理股票挂牌手续的前提，如未完成缴费，在办理挂牌手续环节</w:t>
      </w:r>
      <w:r>
        <w:rPr>
          <w:rFonts w:hint="default" w:ascii="Times New Roman" w:hAnsi="Times New Roman" w:eastAsia="仿宋" w:cs="Times New Roman"/>
          <w:bCs/>
          <w:sz w:val="32"/>
          <w:szCs w:val="32"/>
        </w:rPr>
        <w:t>BPM</w:t>
      </w:r>
      <w:r>
        <w:rPr>
          <w:rFonts w:hint="eastAsia" w:ascii="仿宋" w:hAnsi="仿宋" w:eastAsia="仿宋"/>
          <w:bCs/>
          <w:sz w:val="32"/>
          <w:szCs w:val="32"/>
        </w:rPr>
        <w:t>系统提示</w:t>
      </w:r>
      <w:r>
        <w:rPr>
          <w:rFonts w:ascii="仿宋" w:hAnsi="仿宋" w:eastAsia="仿宋"/>
          <w:bCs/>
          <w:sz w:val="32"/>
          <w:szCs w:val="32"/>
        </w:rPr>
        <w:t>“</w:t>
      </w:r>
      <w:r>
        <w:rPr>
          <w:rFonts w:hint="eastAsia" w:ascii="仿宋" w:hAnsi="仿宋" w:eastAsia="仿宋"/>
          <w:bCs/>
          <w:sz w:val="32"/>
          <w:szCs w:val="32"/>
        </w:rPr>
        <w:t>挂牌项目未完成缴费，请完成缴费后重新提交</w:t>
      </w:r>
      <w:r>
        <w:rPr>
          <w:rFonts w:ascii="仿宋" w:hAnsi="仿宋" w:eastAsia="仿宋"/>
          <w:bCs/>
          <w:sz w:val="32"/>
          <w:szCs w:val="32"/>
        </w:rPr>
        <w:t>”</w:t>
      </w:r>
      <w:r>
        <w:rPr>
          <w:rFonts w:hint="eastAsia" w:ascii="仿宋" w:hAnsi="仿宋" w:eastAsia="仿宋"/>
          <w:bCs/>
          <w:sz w:val="32"/>
          <w:szCs w:val="32"/>
        </w:rPr>
        <w:t>。</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全国股转公司收到挂牌费用后为申请人开具发票并转交其主办券商，主办券商应当及时将发票转交申请人。</w:t>
      </w:r>
    </w:p>
    <w:p>
      <w:pPr>
        <w:spacing w:line="600" w:lineRule="exact"/>
        <w:ind w:firstLine="640" w:firstLineChars="200"/>
        <w:outlineLvl w:val="1"/>
        <w:rPr>
          <w:rFonts w:ascii="Times New Roman" w:hAnsi="Times New Roman" w:eastAsia="楷体"/>
          <w:bCs/>
          <w:sz w:val="32"/>
          <w:szCs w:val="32"/>
        </w:rPr>
      </w:pPr>
      <w:r>
        <w:rPr>
          <w:rFonts w:hint="eastAsia" w:ascii="Times New Roman" w:hAnsi="Times New Roman" w:eastAsia="楷体"/>
          <w:bCs/>
          <w:sz w:val="32"/>
          <w:szCs w:val="32"/>
        </w:rPr>
        <w:t>1</w:t>
      </w:r>
      <w:r>
        <w:rPr>
          <w:rFonts w:ascii="Times New Roman" w:hAnsi="Times New Roman" w:eastAsia="楷体"/>
          <w:bCs/>
          <w:sz w:val="32"/>
          <w:szCs w:val="32"/>
        </w:rPr>
        <w:t>.10办理股票初始登记</w:t>
      </w:r>
    </w:p>
    <w:p>
      <w:pPr>
        <w:spacing w:line="600" w:lineRule="exact"/>
        <w:ind w:firstLine="739" w:firstLineChars="231"/>
        <w:outlineLvl w:val="2"/>
        <w:rPr>
          <w:rFonts w:ascii="Times New Roman" w:hAnsi="Times New Roman" w:eastAsia="仿宋"/>
          <w:bCs/>
          <w:sz w:val="32"/>
          <w:szCs w:val="32"/>
        </w:rPr>
      </w:pPr>
      <w:r>
        <w:rPr>
          <w:rFonts w:ascii="Times New Roman" w:hAnsi="Times New Roman" w:eastAsia="仿宋"/>
          <w:bCs/>
          <w:sz w:val="32"/>
          <w:szCs w:val="32"/>
        </w:rPr>
        <w:t>1.10.1全国股转公司将申请人的同意函和股票初始登记</w:t>
      </w:r>
      <w:r>
        <w:rPr>
          <w:rFonts w:hint="eastAsia" w:ascii="Times New Roman" w:hAnsi="Times New Roman" w:eastAsia="仿宋"/>
          <w:bCs/>
          <w:sz w:val="32"/>
          <w:szCs w:val="32"/>
        </w:rPr>
        <w:t>等</w:t>
      </w:r>
      <w:r>
        <w:rPr>
          <w:rFonts w:ascii="Times New Roman" w:hAnsi="Times New Roman" w:eastAsia="仿宋"/>
          <w:bCs/>
          <w:sz w:val="32"/>
          <w:szCs w:val="32"/>
        </w:rPr>
        <w:t>数据通过BPM系统传送至中国结算北京分公司在线业务平台。</w:t>
      </w:r>
    </w:p>
    <w:p>
      <w:pPr>
        <w:spacing w:line="600" w:lineRule="exact"/>
        <w:ind w:firstLine="768" w:firstLineChars="240"/>
        <w:outlineLvl w:val="2"/>
        <w:rPr>
          <w:rFonts w:ascii="Times New Roman" w:hAnsi="Times New Roman" w:eastAsia="仿宋"/>
          <w:bCs/>
          <w:sz w:val="32"/>
          <w:szCs w:val="32"/>
        </w:rPr>
      </w:pPr>
      <w:r>
        <w:rPr>
          <w:rFonts w:ascii="Times New Roman" w:hAnsi="Times New Roman" w:eastAsia="仿宋"/>
          <w:bCs/>
          <w:sz w:val="32"/>
          <w:szCs w:val="32"/>
        </w:rPr>
        <w:t>1.10.2申请人在取得同意函、证券简称和证券代码，并完成定向发行认购程序（如有）及发行情况报告书等文件的披露（如有）后，应当及时向中国结算北京分公司申请办理股票初始登记，取得电子版的《股份登记确认书》等证明文件。中国结算北京分公司通过其在线业务平台将股票初始登记</w:t>
      </w:r>
      <w:r>
        <w:rPr>
          <w:rFonts w:hint="eastAsia" w:ascii="Times New Roman" w:hAnsi="Times New Roman" w:eastAsia="仿宋"/>
          <w:bCs/>
          <w:sz w:val="32"/>
          <w:szCs w:val="32"/>
        </w:rPr>
        <w:t>等</w:t>
      </w:r>
      <w:r>
        <w:rPr>
          <w:rFonts w:ascii="Times New Roman" w:hAnsi="Times New Roman" w:eastAsia="仿宋"/>
          <w:bCs/>
          <w:sz w:val="32"/>
          <w:szCs w:val="32"/>
        </w:rPr>
        <w:t>数据回传至全国股转系统BPM系统。</w:t>
      </w:r>
    </w:p>
    <w:p>
      <w:pPr>
        <w:spacing w:line="600" w:lineRule="exact"/>
        <w:ind w:firstLine="640" w:firstLineChars="200"/>
        <w:outlineLvl w:val="1"/>
        <w:rPr>
          <w:rFonts w:ascii="Times New Roman" w:hAnsi="Times New Roman" w:eastAsia="楷体"/>
          <w:bCs/>
          <w:sz w:val="32"/>
          <w:szCs w:val="32"/>
        </w:rPr>
      </w:pPr>
      <w:r>
        <w:rPr>
          <w:rFonts w:hint="eastAsia" w:ascii="Times New Roman" w:hAnsi="Times New Roman" w:eastAsia="楷体"/>
          <w:bCs/>
          <w:sz w:val="32"/>
          <w:szCs w:val="32"/>
        </w:rPr>
        <w:t>1</w:t>
      </w:r>
      <w:r>
        <w:rPr>
          <w:rFonts w:ascii="Times New Roman" w:hAnsi="Times New Roman" w:eastAsia="楷体"/>
          <w:bCs/>
          <w:sz w:val="32"/>
          <w:szCs w:val="32"/>
        </w:rPr>
        <w:t>.11办理股票挂牌</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申请人</w:t>
      </w:r>
      <w:r>
        <w:rPr>
          <w:rFonts w:ascii="Times New Roman" w:hAnsi="Times New Roman" w:eastAsia="仿宋"/>
          <w:bCs/>
          <w:sz w:val="32"/>
          <w:szCs w:val="32"/>
        </w:rPr>
        <w:t>在中国结算北京分公司在线业务平台取得《股份登记确认书》等证明文件后，主办券商应当协助申请人及时办理股票挂牌手续</w:t>
      </w:r>
      <w:r>
        <w:rPr>
          <w:rFonts w:hint="eastAsia" w:ascii="Times New Roman" w:hAnsi="Times New Roman" w:eastAsia="仿宋"/>
          <w:bCs/>
          <w:sz w:val="32"/>
          <w:szCs w:val="32"/>
        </w:rPr>
        <w:t>。</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全国股转公司</w:t>
      </w:r>
      <w:r>
        <w:rPr>
          <w:rFonts w:ascii="Times New Roman" w:hAnsi="Times New Roman" w:eastAsia="仿宋"/>
          <w:bCs/>
          <w:sz w:val="32"/>
          <w:szCs w:val="32"/>
        </w:rPr>
        <w:t>收到申请人提交的挂牌协议后，</w:t>
      </w:r>
      <w:r>
        <w:rPr>
          <w:rFonts w:hint="eastAsia" w:ascii="Times New Roman" w:hAnsi="Times New Roman" w:eastAsia="仿宋"/>
          <w:bCs/>
          <w:sz w:val="32"/>
          <w:szCs w:val="32"/>
        </w:rPr>
        <w:t>主办券商</w:t>
      </w:r>
      <w:r>
        <w:rPr>
          <w:rFonts w:ascii="Times New Roman" w:hAnsi="Times New Roman" w:eastAsia="仿宋"/>
          <w:bCs/>
          <w:sz w:val="32"/>
          <w:szCs w:val="32"/>
        </w:rPr>
        <w:t>可以通过</w:t>
      </w:r>
      <w:r>
        <w:rPr>
          <w:rFonts w:hint="eastAsia" w:ascii="Times New Roman" w:hAnsi="Times New Roman" w:eastAsia="仿宋"/>
          <w:bCs/>
          <w:sz w:val="32"/>
          <w:szCs w:val="32"/>
        </w:rPr>
        <w:t>BPM系统</w:t>
      </w:r>
      <w:r>
        <w:rPr>
          <w:rFonts w:ascii="Times New Roman" w:hAnsi="Times New Roman" w:eastAsia="仿宋"/>
          <w:bCs/>
          <w:sz w:val="32"/>
          <w:szCs w:val="32"/>
        </w:rPr>
        <w:t>查询到相关信息</w:t>
      </w:r>
      <w:r>
        <w:rPr>
          <w:rFonts w:hint="eastAsia" w:ascii="Times New Roman" w:hAnsi="Times New Roman" w:eastAsia="仿宋"/>
          <w:bCs/>
          <w:sz w:val="32"/>
          <w:szCs w:val="32"/>
        </w:rPr>
        <w:t>。主办券商</w:t>
      </w:r>
      <w:r>
        <w:rPr>
          <w:rFonts w:ascii="Times New Roman" w:hAnsi="Times New Roman" w:eastAsia="仿宋"/>
          <w:bCs/>
          <w:sz w:val="32"/>
          <w:szCs w:val="32"/>
        </w:rPr>
        <w:t>在每个交易日11:00前，可以通过BPM</w:t>
      </w:r>
      <w:r>
        <w:rPr>
          <w:rFonts w:hint="eastAsia" w:ascii="仿宋" w:hAnsi="仿宋" w:eastAsia="仿宋"/>
          <w:bCs/>
          <w:sz w:val="32"/>
          <w:szCs w:val="32"/>
        </w:rPr>
        <w:t>系统</w:t>
      </w:r>
      <w:r>
        <w:rPr>
          <w:rFonts w:ascii="仿宋" w:hAnsi="仿宋" w:eastAsia="仿宋"/>
          <w:bCs/>
          <w:sz w:val="32"/>
          <w:szCs w:val="32"/>
        </w:rPr>
        <w:t>“</w:t>
      </w:r>
      <w:r>
        <w:rPr>
          <w:rFonts w:hint="eastAsia" w:ascii="仿宋" w:hAnsi="仿宋" w:eastAsia="仿宋"/>
          <w:bCs/>
          <w:sz w:val="32"/>
          <w:szCs w:val="32"/>
        </w:rPr>
        <w:t>股票初始登记管理</w:t>
      </w:r>
      <w:r>
        <w:rPr>
          <w:rFonts w:ascii="仿宋" w:hAnsi="仿宋" w:eastAsia="仿宋"/>
          <w:bCs/>
          <w:sz w:val="32"/>
          <w:szCs w:val="32"/>
        </w:rPr>
        <w:t>”</w:t>
      </w:r>
      <w:r>
        <w:rPr>
          <w:rFonts w:hint="eastAsia" w:ascii="仿宋" w:hAnsi="仿宋" w:eastAsia="仿宋"/>
          <w:bCs/>
          <w:sz w:val="32"/>
          <w:szCs w:val="32"/>
        </w:rPr>
        <w:t>模块中的</w:t>
      </w:r>
      <w:r>
        <w:rPr>
          <w:rFonts w:ascii="仿宋" w:hAnsi="仿宋" w:eastAsia="仿宋"/>
          <w:bCs/>
          <w:sz w:val="32"/>
          <w:szCs w:val="32"/>
        </w:rPr>
        <w:t>“</w:t>
      </w:r>
      <w:r>
        <w:rPr>
          <w:rFonts w:hint="eastAsia" w:ascii="仿宋" w:hAnsi="仿宋" w:eastAsia="仿宋"/>
          <w:bCs/>
          <w:sz w:val="32"/>
          <w:szCs w:val="32"/>
        </w:rPr>
        <w:t>待提交公开转让列表</w:t>
      </w:r>
      <w:r>
        <w:rPr>
          <w:rFonts w:ascii="仿宋" w:hAnsi="仿宋" w:eastAsia="仿宋"/>
          <w:bCs/>
          <w:sz w:val="32"/>
          <w:szCs w:val="32"/>
        </w:rPr>
        <w:t>”</w:t>
      </w:r>
      <w:r>
        <w:rPr>
          <w:rFonts w:hint="eastAsia" w:ascii="仿宋" w:hAnsi="仿宋" w:eastAsia="仿宋"/>
          <w:bCs/>
          <w:sz w:val="32"/>
          <w:szCs w:val="32"/>
        </w:rPr>
        <w:t>任务栏提交《公开转让记录表》及《股票挂牌重大事项确认函》（附件</w:t>
      </w:r>
      <w:r>
        <w:rPr>
          <w:rFonts w:hint="default" w:ascii="Times New Roman" w:hAnsi="Times New Roman" w:eastAsia="仿宋" w:cs="Times New Roman"/>
          <w:bCs/>
          <w:sz w:val="32"/>
          <w:szCs w:val="32"/>
        </w:rPr>
        <w:t>2</w:t>
      </w:r>
      <w:r>
        <w:rPr>
          <w:rFonts w:hint="eastAsia" w:ascii="仿宋" w:hAnsi="仿宋" w:eastAsia="仿宋"/>
          <w:bCs/>
          <w:sz w:val="32"/>
          <w:szCs w:val="32"/>
        </w:rPr>
        <w:t>）等材料。信息填报有误被驳回的，申请人需修</w:t>
      </w:r>
      <w:r>
        <w:rPr>
          <w:rFonts w:ascii="Times New Roman" w:hAnsi="Times New Roman" w:eastAsia="仿宋"/>
          <w:bCs/>
          <w:sz w:val="32"/>
          <w:szCs w:val="32"/>
        </w:rPr>
        <w:t>改后重新上传。</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主办券商应</w:t>
      </w:r>
      <w:r>
        <w:rPr>
          <w:rFonts w:hint="eastAsia" w:ascii="Times New Roman" w:hAnsi="Times New Roman" w:eastAsia="仿宋"/>
          <w:bCs/>
          <w:sz w:val="32"/>
          <w:szCs w:val="32"/>
        </w:rPr>
        <w:t>当</w:t>
      </w:r>
      <w:r>
        <w:rPr>
          <w:rFonts w:ascii="Times New Roman" w:hAnsi="Times New Roman" w:eastAsia="仿宋"/>
          <w:bCs/>
          <w:sz w:val="32"/>
          <w:szCs w:val="32"/>
        </w:rPr>
        <w:t>根据《股票挂牌重大事项确认函》中列示的内容，对申请人做首次信息披露后至股票挂牌前的全面核查。</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全国股转公司对《公开转让记录表》及《股票挂牌重大事项确认函》等材料确认后，主办券商可</w:t>
      </w:r>
      <w:r>
        <w:rPr>
          <w:rFonts w:hint="eastAsia" w:ascii="Times New Roman" w:hAnsi="Times New Roman" w:eastAsia="仿宋"/>
          <w:bCs/>
          <w:sz w:val="32"/>
          <w:szCs w:val="32"/>
        </w:rPr>
        <w:t>以</w:t>
      </w:r>
      <w:r>
        <w:rPr>
          <w:rFonts w:ascii="Times New Roman" w:hAnsi="Times New Roman" w:eastAsia="仿宋"/>
          <w:bCs/>
          <w:sz w:val="32"/>
          <w:szCs w:val="32"/>
        </w:rPr>
        <w:t>在BPM系统查询到股票挂牌日期（T日），挂牌日期为全国股转公司确认股票挂牌信息当日算起的第</w:t>
      </w:r>
      <w:r>
        <w:rPr>
          <w:rFonts w:hint="default" w:ascii="Times New Roman" w:hAnsi="Times New Roman" w:eastAsia="仿宋" w:cs="Times New Roman"/>
          <w:bCs/>
          <w:sz w:val="32"/>
          <w:szCs w:val="32"/>
        </w:rPr>
        <w:t>3</w:t>
      </w:r>
      <w:r>
        <w:rPr>
          <w:rFonts w:ascii="Times New Roman" w:hAnsi="Times New Roman" w:eastAsia="仿宋"/>
          <w:bCs/>
          <w:sz w:val="32"/>
          <w:szCs w:val="32"/>
        </w:rPr>
        <w:t>个交易日，主办券商应</w:t>
      </w:r>
      <w:r>
        <w:rPr>
          <w:rFonts w:hint="eastAsia" w:ascii="Times New Roman" w:hAnsi="Times New Roman" w:eastAsia="仿宋"/>
          <w:bCs/>
          <w:sz w:val="32"/>
          <w:szCs w:val="32"/>
        </w:rPr>
        <w:t>当</w:t>
      </w:r>
      <w:r>
        <w:rPr>
          <w:rFonts w:ascii="Times New Roman" w:hAnsi="Times New Roman" w:eastAsia="仿宋"/>
          <w:bCs/>
          <w:sz w:val="32"/>
          <w:szCs w:val="32"/>
        </w:rPr>
        <w:t>协助申请人准备办理挂牌前第二次信息披露。</w:t>
      </w:r>
    </w:p>
    <w:p>
      <w:pPr>
        <w:spacing w:line="600" w:lineRule="exact"/>
        <w:ind w:firstLine="640" w:firstLineChars="200"/>
        <w:outlineLvl w:val="1"/>
        <w:rPr>
          <w:rFonts w:ascii="Times New Roman" w:hAnsi="Times New Roman" w:eastAsia="楷体"/>
          <w:bCs/>
          <w:sz w:val="32"/>
          <w:szCs w:val="32"/>
        </w:rPr>
      </w:pPr>
      <w:r>
        <w:rPr>
          <w:rFonts w:hint="eastAsia" w:ascii="Times New Roman" w:hAnsi="Times New Roman" w:eastAsia="楷体"/>
          <w:bCs/>
          <w:sz w:val="32"/>
          <w:szCs w:val="32"/>
        </w:rPr>
        <w:t>1</w:t>
      </w:r>
      <w:r>
        <w:rPr>
          <w:rFonts w:ascii="Times New Roman" w:hAnsi="Times New Roman" w:eastAsia="楷体"/>
          <w:bCs/>
          <w:sz w:val="32"/>
          <w:szCs w:val="32"/>
        </w:rPr>
        <w:t>.12挂牌前第二次信息披露</w:t>
      </w:r>
    </w:p>
    <w:p>
      <w:pPr>
        <w:spacing w:line="600" w:lineRule="exact"/>
        <w:ind w:firstLine="739" w:firstLineChars="231"/>
        <w:outlineLvl w:val="2"/>
        <w:rPr>
          <w:rFonts w:ascii="Times New Roman" w:hAnsi="Times New Roman" w:eastAsia="仿宋"/>
          <w:bCs/>
          <w:sz w:val="32"/>
          <w:szCs w:val="32"/>
        </w:rPr>
      </w:pPr>
      <w:r>
        <w:rPr>
          <w:rFonts w:ascii="Times New Roman" w:hAnsi="Times New Roman" w:eastAsia="仿宋"/>
          <w:bCs/>
          <w:sz w:val="32"/>
          <w:szCs w:val="32"/>
        </w:rPr>
        <w:t>1.12.1披露时间</w:t>
      </w:r>
    </w:p>
    <w:p>
      <w:pPr>
        <w:spacing w:line="600" w:lineRule="exact"/>
        <w:ind w:firstLine="726" w:firstLineChars="227"/>
        <w:rPr>
          <w:rFonts w:ascii="Times New Roman" w:hAnsi="Times New Roman" w:eastAsia="仿宋"/>
          <w:bCs/>
          <w:sz w:val="32"/>
          <w:szCs w:val="32"/>
        </w:rPr>
      </w:pPr>
      <w:r>
        <w:rPr>
          <w:rFonts w:ascii="Times New Roman" w:hAnsi="Times New Roman" w:eastAsia="仿宋"/>
          <w:bCs/>
          <w:sz w:val="32"/>
          <w:szCs w:val="32"/>
        </w:rPr>
        <w:t>挂牌日的前一个交易日（T-1日）</w:t>
      </w:r>
    </w:p>
    <w:p>
      <w:pPr>
        <w:spacing w:line="600" w:lineRule="exact"/>
        <w:ind w:firstLine="739" w:firstLineChars="231"/>
        <w:outlineLvl w:val="2"/>
        <w:rPr>
          <w:rFonts w:ascii="Times New Roman" w:hAnsi="Times New Roman" w:eastAsia="仿宋"/>
          <w:bCs/>
          <w:sz w:val="32"/>
          <w:szCs w:val="32"/>
        </w:rPr>
      </w:pPr>
      <w:r>
        <w:rPr>
          <w:rFonts w:hint="eastAsia" w:ascii="Times New Roman" w:hAnsi="Times New Roman" w:eastAsia="仿宋"/>
          <w:bCs/>
          <w:sz w:val="32"/>
          <w:szCs w:val="32"/>
        </w:rPr>
        <w:t>1.12.2</w:t>
      </w:r>
      <w:r>
        <w:rPr>
          <w:rFonts w:ascii="Times New Roman" w:hAnsi="Times New Roman" w:eastAsia="仿宋"/>
          <w:bCs/>
          <w:sz w:val="32"/>
          <w:szCs w:val="32"/>
        </w:rPr>
        <w:t>披露文件</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（1）关于股票挂牌的提示性公告（附件3）；</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（2）关于完成工商变更登记手续的公告（如有）（附件4）；</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（3）其他公告文件（如有）。</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主办券商应当协助申请人在</w:t>
      </w:r>
      <w:r>
        <w:rPr>
          <w:rFonts w:hint="default" w:ascii="Times New Roman" w:hAnsi="Times New Roman" w:eastAsia="仿宋" w:cs="Times New Roman"/>
          <w:bCs/>
          <w:sz w:val="32"/>
          <w:szCs w:val="32"/>
        </w:rPr>
        <w:t>BPM</w:t>
      </w:r>
      <w:r>
        <w:rPr>
          <w:rFonts w:hint="eastAsia" w:ascii="仿宋" w:hAnsi="仿宋" w:eastAsia="仿宋"/>
          <w:bCs/>
          <w:sz w:val="32"/>
          <w:szCs w:val="32"/>
        </w:rPr>
        <w:t>系统</w:t>
      </w:r>
      <w:r>
        <w:rPr>
          <w:rFonts w:ascii="仿宋" w:hAnsi="仿宋" w:eastAsia="仿宋"/>
          <w:bCs/>
          <w:sz w:val="32"/>
          <w:szCs w:val="32"/>
        </w:rPr>
        <w:t>“</w:t>
      </w:r>
      <w:r>
        <w:rPr>
          <w:rFonts w:hint="eastAsia" w:ascii="仿宋" w:hAnsi="仿宋" w:eastAsia="仿宋"/>
          <w:bCs/>
          <w:sz w:val="32"/>
          <w:szCs w:val="32"/>
        </w:rPr>
        <w:t>挂牌前信息披露</w:t>
      </w:r>
      <w:r>
        <w:rPr>
          <w:rFonts w:ascii="仿宋" w:hAnsi="仿宋" w:eastAsia="仿宋"/>
          <w:bCs/>
          <w:sz w:val="32"/>
          <w:szCs w:val="32"/>
        </w:rPr>
        <w:t>”</w:t>
      </w:r>
      <w:r>
        <w:rPr>
          <w:rFonts w:hint="eastAsia" w:ascii="仿宋" w:hAnsi="仿宋" w:eastAsia="仿宋"/>
          <w:bCs/>
          <w:sz w:val="32"/>
          <w:szCs w:val="32"/>
        </w:rPr>
        <w:t>模块中的</w:t>
      </w:r>
      <w:r>
        <w:rPr>
          <w:rFonts w:ascii="仿宋" w:hAnsi="仿宋" w:eastAsia="仿宋"/>
          <w:bCs/>
          <w:sz w:val="32"/>
          <w:szCs w:val="32"/>
        </w:rPr>
        <w:t>“</w:t>
      </w:r>
      <w:r>
        <w:rPr>
          <w:rFonts w:hint="eastAsia" w:ascii="仿宋" w:hAnsi="仿宋" w:eastAsia="仿宋"/>
          <w:bCs/>
          <w:sz w:val="32"/>
          <w:szCs w:val="32"/>
        </w:rPr>
        <w:t>待二次信息披露</w:t>
      </w:r>
      <w:r>
        <w:rPr>
          <w:rFonts w:ascii="仿宋" w:hAnsi="仿宋" w:eastAsia="仿宋"/>
          <w:bCs/>
          <w:sz w:val="32"/>
          <w:szCs w:val="32"/>
        </w:rPr>
        <w:t>”</w:t>
      </w:r>
      <w:r>
        <w:rPr>
          <w:rFonts w:hint="eastAsia" w:ascii="仿宋" w:hAnsi="仿宋" w:eastAsia="仿宋"/>
          <w:bCs/>
          <w:sz w:val="32"/>
          <w:szCs w:val="32"/>
        </w:rPr>
        <w:t>任务栏，找到待披露的项目，在</w:t>
      </w:r>
      <w:r>
        <w:rPr>
          <w:rFonts w:hint="default" w:ascii="Times New Roman" w:hAnsi="Times New Roman" w:eastAsia="仿宋" w:cs="Times New Roman"/>
          <w:bCs/>
          <w:sz w:val="32"/>
          <w:szCs w:val="32"/>
        </w:rPr>
        <w:t>T-1</w:t>
      </w:r>
      <w:r>
        <w:rPr>
          <w:rFonts w:hint="eastAsia" w:ascii="仿宋" w:hAnsi="仿宋" w:eastAsia="仿宋"/>
          <w:bCs/>
          <w:sz w:val="32"/>
          <w:szCs w:val="32"/>
        </w:rPr>
        <w:t>日</w:t>
      </w:r>
      <w:r>
        <w:rPr>
          <w:rFonts w:hint="default" w:ascii="Times New Roman" w:hAnsi="Times New Roman" w:eastAsia="仿宋" w:cs="Times New Roman"/>
          <w:bCs/>
          <w:sz w:val="32"/>
          <w:szCs w:val="32"/>
        </w:rPr>
        <w:t>15</w:t>
      </w:r>
      <w:r>
        <w:rPr>
          <w:rFonts w:hint="default" w:ascii="Times New Roman" w:hAnsi="Times New Roman" w:eastAsia="仿宋" w:cs="Times New Roman"/>
          <w:bCs/>
          <w:sz w:val="32"/>
          <w:szCs w:val="32"/>
          <w:lang w:val="en"/>
        </w:rPr>
        <w:t>:</w:t>
      </w:r>
      <w:r>
        <w:rPr>
          <w:rFonts w:hint="default" w:ascii="Times New Roman" w:hAnsi="Times New Roman" w:eastAsia="仿宋" w:cs="Times New Roman"/>
          <w:bCs/>
          <w:sz w:val="32"/>
          <w:szCs w:val="32"/>
        </w:rPr>
        <w:t>00</w:t>
      </w:r>
      <w:r>
        <w:rPr>
          <w:rFonts w:hint="eastAsia" w:ascii="仿宋" w:hAnsi="仿宋" w:eastAsia="仿宋"/>
          <w:bCs/>
          <w:sz w:val="32"/>
          <w:szCs w:val="32"/>
        </w:rPr>
        <w:t>前上传披露文件，</w:t>
      </w:r>
      <w:r>
        <w:rPr>
          <w:rFonts w:hint="default" w:ascii="Times New Roman" w:hAnsi="Times New Roman" w:eastAsia="仿宋" w:cs="Times New Roman"/>
          <w:bCs/>
          <w:sz w:val="32"/>
          <w:szCs w:val="32"/>
        </w:rPr>
        <w:t>15</w:t>
      </w:r>
      <w:r>
        <w:rPr>
          <w:rFonts w:hint="default" w:ascii="Times New Roman" w:hAnsi="Times New Roman" w:eastAsia="仿宋" w:cs="Times New Roman"/>
          <w:bCs/>
          <w:sz w:val="32"/>
          <w:szCs w:val="32"/>
          <w:lang w:val="en"/>
        </w:rPr>
        <w:t>:</w:t>
      </w:r>
      <w:r>
        <w:rPr>
          <w:rFonts w:hint="default" w:ascii="Times New Roman" w:hAnsi="Times New Roman" w:eastAsia="仿宋" w:cs="Times New Roman"/>
          <w:bCs/>
          <w:sz w:val="32"/>
          <w:szCs w:val="32"/>
        </w:rPr>
        <w:t>30</w:t>
      </w:r>
      <w:r>
        <w:rPr>
          <w:rFonts w:hint="eastAsia" w:ascii="仿宋" w:hAnsi="仿宋" w:eastAsia="仿宋"/>
          <w:bCs/>
          <w:sz w:val="32"/>
          <w:szCs w:val="32"/>
        </w:rPr>
        <w:t>后相关文件将在</w:t>
      </w:r>
      <w:r>
        <w:rPr>
          <w:rFonts w:hint="default" w:ascii="Times New Roman" w:hAnsi="Times New Roman" w:eastAsia="仿宋" w:cs="Times New Roman"/>
          <w:bCs/>
          <w:sz w:val="32"/>
          <w:szCs w:val="32"/>
        </w:rPr>
        <w:t>www.neeq.com.cn</w:t>
      </w:r>
      <w:r>
        <w:rPr>
          <w:rFonts w:hint="eastAsia" w:ascii="仿宋" w:hAnsi="仿宋" w:eastAsia="仿宋"/>
          <w:bCs/>
          <w:sz w:val="32"/>
          <w:szCs w:val="32"/>
        </w:rPr>
        <w:t>或</w:t>
      </w:r>
      <w:r>
        <w:rPr>
          <w:rFonts w:hint="default" w:ascii="Times New Roman" w:hAnsi="Times New Roman" w:eastAsia="仿宋" w:cs="Times New Roman"/>
          <w:bCs/>
          <w:sz w:val="32"/>
          <w:szCs w:val="32"/>
        </w:rPr>
        <w:t>www.neeq.cc</w:t>
      </w:r>
      <w:r>
        <w:rPr>
          <w:rFonts w:hint="eastAsia" w:ascii="仿宋" w:hAnsi="仿宋" w:eastAsia="仿宋"/>
          <w:bCs/>
          <w:sz w:val="32"/>
          <w:szCs w:val="32"/>
        </w:rPr>
        <w:t>上进行披露。</w:t>
      </w:r>
    </w:p>
    <w:p>
      <w:pPr>
        <w:spacing w:line="600" w:lineRule="exact"/>
        <w:ind w:firstLine="640" w:firstLineChars="200"/>
        <w:outlineLvl w:val="0"/>
        <w:rPr>
          <w:rFonts w:ascii="Times New Roman" w:hAnsi="Times New Roman" w:eastAsia="黑体"/>
          <w:bCs/>
          <w:sz w:val="32"/>
          <w:szCs w:val="32"/>
        </w:rPr>
      </w:pPr>
      <w:r>
        <w:rPr>
          <w:rFonts w:hint="eastAsia" w:ascii="Times New Roman" w:hAnsi="Times New Roman" w:eastAsia="黑体"/>
          <w:bCs/>
          <w:sz w:val="32"/>
          <w:szCs w:val="32"/>
        </w:rPr>
        <w:t>2</w:t>
      </w:r>
      <w:r>
        <w:rPr>
          <w:rFonts w:ascii="Times New Roman" w:hAnsi="Times New Roman" w:eastAsia="黑体"/>
          <w:bCs/>
          <w:sz w:val="32"/>
          <w:szCs w:val="32"/>
        </w:rPr>
        <w:t>.挂牌前信息披露公告的更正、新增、补发、撤销</w:t>
      </w:r>
    </w:p>
    <w:p>
      <w:pPr>
        <w:spacing w:line="600" w:lineRule="exact"/>
        <w:ind w:firstLine="640" w:firstLineChars="200"/>
        <w:outlineLvl w:val="2"/>
        <w:rPr>
          <w:rFonts w:ascii="Times New Roman" w:hAnsi="Times New Roman" w:eastAsia="仿宋"/>
          <w:bCs/>
          <w:sz w:val="32"/>
          <w:szCs w:val="32"/>
        </w:rPr>
      </w:pPr>
      <w:r>
        <w:rPr>
          <w:rFonts w:hint="eastAsia" w:ascii="Times New Roman" w:hAnsi="Times New Roman" w:eastAsia="仿宋"/>
          <w:bCs/>
          <w:sz w:val="32"/>
          <w:szCs w:val="32"/>
        </w:rPr>
        <w:t>2.1</w:t>
      </w:r>
      <w:r>
        <w:rPr>
          <w:rFonts w:ascii="Times New Roman" w:hAnsi="Times New Roman" w:eastAsia="仿宋"/>
          <w:bCs/>
          <w:sz w:val="32"/>
          <w:szCs w:val="32"/>
        </w:rPr>
        <w:t>更正公告适用于对挂牌前已披露文件的更正。</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主办券商应当协助申请人在</w:t>
      </w:r>
      <w:r>
        <w:rPr>
          <w:rFonts w:hint="default" w:ascii="Times New Roman" w:hAnsi="Times New Roman" w:eastAsia="仿宋" w:cs="Times New Roman"/>
          <w:bCs/>
          <w:sz w:val="32"/>
          <w:szCs w:val="32"/>
        </w:rPr>
        <w:t>BPM</w:t>
      </w:r>
      <w:r>
        <w:rPr>
          <w:rFonts w:hint="eastAsia" w:ascii="仿宋" w:hAnsi="仿宋" w:eastAsia="仿宋"/>
          <w:bCs/>
          <w:sz w:val="32"/>
          <w:szCs w:val="32"/>
        </w:rPr>
        <w:t>系统</w:t>
      </w:r>
      <w:r>
        <w:rPr>
          <w:rFonts w:ascii="仿宋" w:hAnsi="仿宋" w:eastAsia="仿宋"/>
          <w:bCs/>
          <w:sz w:val="32"/>
          <w:szCs w:val="32"/>
        </w:rPr>
        <w:t>“</w:t>
      </w:r>
      <w:r>
        <w:rPr>
          <w:rFonts w:hint="eastAsia" w:ascii="仿宋" w:hAnsi="仿宋" w:eastAsia="仿宋"/>
          <w:bCs/>
          <w:sz w:val="32"/>
          <w:szCs w:val="32"/>
        </w:rPr>
        <w:t>挂牌前信息披露</w:t>
      </w:r>
      <w:r>
        <w:rPr>
          <w:rFonts w:ascii="仿宋" w:hAnsi="仿宋" w:eastAsia="仿宋"/>
          <w:bCs/>
          <w:sz w:val="32"/>
          <w:szCs w:val="32"/>
        </w:rPr>
        <w:t>”</w:t>
      </w:r>
      <w:r>
        <w:rPr>
          <w:rFonts w:hint="eastAsia" w:ascii="仿宋" w:hAnsi="仿宋" w:eastAsia="仿宋"/>
          <w:bCs/>
          <w:sz w:val="32"/>
          <w:szCs w:val="32"/>
        </w:rPr>
        <w:t>模块下的</w:t>
      </w:r>
      <w:r>
        <w:rPr>
          <w:rFonts w:ascii="仿宋" w:hAnsi="仿宋" w:eastAsia="仿宋"/>
          <w:bCs/>
          <w:sz w:val="32"/>
          <w:szCs w:val="32"/>
        </w:rPr>
        <w:t>“</w:t>
      </w:r>
      <w:r>
        <w:rPr>
          <w:rFonts w:hint="eastAsia" w:ascii="仿宋" w:hAnsi="仿宋" w:eastAsia="仿宋"/>
          <w:bCs/>
          <w:sz w:val="32"/>
          <w:szCs w:val="32"/>
        </w:rPr>
        <w:t>已披露公告</w:t>
      </w:r>
      <w:r>
        <w:rPr>
          <w:rFonts w:ascii="仿宋" w:hAnsi="仿宋" w:eastAsia="仿宋"/>
          <w:bCs/>
          <w:sz w:val="32"/>
          <w:szCs w:val="32"/>
        </w:rPr>
        <w:t>”</w:t>
      </w:r>
      <w:r>
        <w:rPr>
          <w:rFonts w:hint="eastAsia" w:ascii="仿宋" w:hAnsi="仿宋" w:eastAsia="仿宋"/>
          <w:bCs/>
          <w:sz w:val="32"/>
          <w:szCs w:val="32"/>
        </w:rPr>
        <w:t>栏目找到需要更正的公告，点击</w:t>
      </w:r>
      <w:r>
        <w:rPr>
          <w:rFonts w:ascii="仿宋" w:hAnsi="仿宋" w:eastAsia="仿宋"/>
          <w:bCs/>
          <w:sz w:val="32"/>
          <w:szCs w:val="32"/>
        </w:rPr>
        <w:t>“</w:t>
      </w:r>
      <w:r>
        <w:rPr>
          <w:rFonts w:hint="eastAsia" w:ascii="仿宋" w:hAnsi="仿宋" w:eastAsia="仿宋"/>
          <w:bCs/>
          <w:sz w:val="32"/>
          <w:szCs w:val="32"/>
        </w:rPr>
        <w:t>申请更正</w:t>
      </w:r>
      <w:r>
        <w:rPr>
          <w:rFonts w:ascii="仿宋" w:hAnsi="仿宋" w:eastAsia="仿宋"/>
          <w:bCs/>
          <w:sz w:val="32"/>
          <w:szCs w:val="32"/>
        </w:rPr>
        <w:t>”</w:t>
      </w:r>
      <w:r>
        <w:rPr>
          <w:rFonts w:hint="eastAsia" w:ascii="仿宋" w:hAnsi="仿宋" w:eastAsia="仿宋"/>
          <w:bCs/>
          <w:sz w:val="32"/>
          <w:szCs w:val="32"/>
        </w:rPr>
        <w:t>按钮，上传申请人出具的更正公告、更正后的信息披露文件、主办券商出具的情况说明（如涉及法律意见书更正的，由律师事务所出具说明；涉及审计报告及财务报表更正的，由会计师事务所出具说明），更正公告及情况说明应写明更正原因，列示更正前、更正后的内容，更正内容以楷体加粗显示。</w:t>
      </w:r>
    </w:p>
    <w:p>
      <w:pPr>
        <w:spacing w:line="600" w:lineRule="exact"/>
        <w:ind w:firstLine="640" w:firstLineChars="200"/>
        <w:outlineLvl w:val="2"/>
        <w:rPr>
          <w:rFonts w:ascii="Times New Roman" w:hAnsi="Times New Roman" w:eastAsia="仿宋"/>
          <w:bCs/>
          <w:sz w:val="32"/>
          <w:szCs w:val="32"/>
        </w:rPr>
      </w:pPr>
      <w:r>
        <w:rPr>
          <w:rFonts w:ascii="Times New Roman" w:hAnsi="Times New Roman" w:eastAsia="仿宋"/>
          <w:bCs/>
          <w:sz w:val="32"/>
          <w:szCs w:val="32"/>
        </w:rPr>
        <w:t>2.2新增临时公告适用于同意函出具日至股票挂牌日期间，依据《全国中小企业股份转让系统挂牌公司信息披露规则》的规定，需要对申请人重大事件进行披露的公告。</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主办券商应当协助申请人在</w:t>
      </w:r>
      <w:r>
        <w:rPr>
          <w:rFonts w:hint="default" w:ascii="Times New Roman" w:hAnsi="Times New Roman" w:eastAsia="仿宋" w:cs="Times New Roman"/>
          <w:bCs/>
          <w:sz w:val="32"/>
          <w:szCs w:val="32"/>
        </w:rPr>
        <w:t>BPM</w:t>
      </w:r>
      <w:r>
        <w:rPr>
          <w:rFonts w:hint="eastAsia" w:ascii="仿宋" w:hAnsi="仿宋" w:eastAsia="仿宋"/>
          <w:bCs/>
          <w:sz w:val="32"/>
          <w:szCs w:val="32"/>
        </w:rPr>
        <w:t>系统</w:t>
      </w:r>
      <w:r>
        <w:rPr>
          <w:rFonts w:ascii="仿宋" w:hAnsi="仿宋" w:eastAsia="仿宋"/>
          <w:bCs/>
          <w:sz w:val="32"/>
          <w:szCs w:val="32"/>
        </w:rPr>
        <w:t>“</w:t>
      </w:r>
      <w:r>
        <w:rPr>
          <w:rFonts w:hint="eastAsia" w:ascii="仿宋" w:hAnsi="仿宋" w:eastAsia="仿宋"/>
          <w:bCs/>
          <w:sz w:val="32"/>
          <w:szCs w:val="32"/>
        </w:rPr>
        <w:t>挂牌前信息披露</w:t>
      </w:r>
      <w:r>
        <w:rPr>
          <w:rFonts w:ascii="仿宋" w:hAnsi="仿宋" w:eastAsia="仿宋"/>
          <w:bCs/>
          <w:sz w:val="32"/>
          <w:szCs w:val="32"/>
        </w:rPr>
        <w:t>”</w:t>
      </w:r>
      <w:r>
        <w:rPr>
          <w:rFonts w:hint="eastAsia" w:ascii="仿宋" w:hAnsi="仿宋" w:eastAsia="仿宋"/>
          <w:bCs/>
          <w:sz w:val="32"/>
          <w:szCs w:val="32"/>
        </w:rPr>
        <w:t>模块下的</w:t>
      </w:r>
      <w:r>
        <w:rPr>
          <w:rFonts w:ascii="仿宋" w:hAnsi="仿宋" w:eastAsia="仿宋"/>
          <w:bCs/>
          <w:sz w:val="32"/>
          <w:szCs w:val="32"/>
        </w:rPr>
        <w:t>“</w:t>
      </w:r>
      <w:r>
        <w:rPr>
          <w:rFonts w:hint="eastAsia" w:ascii="仿宋" w:hAnsi="仿宋" w:eastAsia="仿宋"/>
          <w:bCs/>
          <w:sz w:val="32"/>
          <w:szCs w:val="32"/>
        </w:rPr>
        <w:t>挂牌前临时公告</w:t>
      </w:r>
      <w:r>
        <w:rPr>
          <w:rFonts w:ascii="仿宋" w:hAnsi="仿宋" w:eastAsia="仿宋"/>
          <w:bCs/>
          <w:sz w:val="32"/>
          <w:szCs w:val="32"/>
        </w:rPr>
        <w:t>”</w:t>
      </w:r>
      <w:r>
        <w:rPr>
          <w:rFonts w:hint="eastAsia" w:ascii="仿宋" w:hAnsi="仿宋" w:eastAsia="仿宋"/>
          <w:bCs/>
          <w:sz w:val="32"/>
          <w:szCs w:val="32"/>
        </w:rPr>
        <w:t>栏目中</w:t>
      </w:r>
      <w:r>
        <w:rPr>
          <w:rFonts w:ascii="仿宋" w:hAnsi="仿宋" w:eastAsia="仿宋"/>
          <w:bCs/>
          <w:sz w:val="32"/>
          <w:szCs w:val="32"/>
        </w:rPr>
        <w:t>“</w:t>
      </w:r>
      <w:r>
        <w:rPr>
          <w:rFonts w:hint="eastAsia" w:ascii="仿宋" w:hAnsi="仿宋" w:eastAsia="仿宋"/>
          <w:bCs/>
          <w:sz w:val="32"/>
          <w:szCs w:val="32"/>
        </w:rPr>
        <w:t>新增公告</w:t>
      </w:r>
      <w:r>
        <w:rPr>
          <w:rFonts w:ascii="仿宋" w:hAnsi="仿宋" w:eastAsia="仿宋"/>
          <w:bCs/>
          <w:sz w:val="32"/>
          <w:szCs w:val="32"/>
        </w:rPr>
        <w:t>”</w:t>
      </w:r>
      <w:r>
        <w:rPr>
          <w:rFonts w:hint="eastAsia" w:ascii="仿宋" w:hAnsi="仿宋" w:eastAsia="仿宋"/>
          <w:bCs/>
          <w:sz w:val="32"/>
          <w:szCs w:val="32"/>
        </w:rPr>
        <w:t>端口，提交申请人的临时公告。</w:t>
      </w:r>
    </w:p>
    <w:p>
      <w:pPr>
        <w:spacing w:line="600" w:lineRule="exact"/>
        <w:ind w:firstLine="640" w:firstLineChars="200"/>
        <w:outlineLvl w:val="2"/>
        <w:rPr>
          <w:rFonts w:ascii="仿宋" w:hAnsi="仿宋" w:eastAsia="仿宋"/>
          <w:bCs/>
          <w:sz w:val="32"/>
          <w:szCs w:val="32"/>
        </w:rPr>
      </w:pPr>
      <w:r>
        <w:rPr>
          <w:rFonts w:ascii="Times New Roman" w:hAnsi="Times New Roman" w:eastAsia="仿宋"/>
          <w:bCs/>
          <w:sz w:val="32"/>
          <w:szCs w:val="32"/>
        </w:rPr>
        <w:t>2.3</w:t>
      </w:r>
      <w:r>
        <w:rPr>
          <w:rFonts w:hint="eastAsia" w:ascii="仿宋" w:hAnsi="仿宋" w:eastAsia="仿宋"/>
          <w:bCs/>
          <w:sz w:val="32"/>
          <w:szCs w:val="32"/>
        </w:rPr>
        <w:t>补发公告适用于对挂牌前首次信息披露和挂牌前第二次信息披露的漏披文件的补充披露，</w:t>
      </w:r>
      <w:r>
        <w:rPr>
          <w:rFonts w:hint="default" w:ascii="Times New Roman" w:hAnsi="Times New Roman" w:eastAsia="仿宋" w:cs="Times New Roman"/>
          <w:bCs/>
          <w:sz w:val="32"/>
          <w:szCs w:val="32"/>
        </w:rPr>
        <w:t>BPM</w:t>
      </w:r>
      <w:r>
        <w:rPr>
          <w:rFonts w:hint="eastAsia" w:ascii="仿宋" w:hAnsi="仿宋" w:eastAsia="仿宋"/>
          <w:bCs/>
          <w:sz w:val="32"/>
          <w:szCs w:val="32"/>
        </w:rPr>
        <w:t>系统自动在公告名称后增加</w:t>
      </w:r>
      <w:r>
        <w:rPr>
          <w:rFonts w:ascii="仿宋" w:hAnsi="仿宋" w:eastAsia="仿宋"/>
          <w:bCs/>
          <w:sz w:val="32"/>
          <w:szCs w:val="32"/>
        </w:rPr>
        <w:t>“</w:t>
      </w:r>
      <w:r>
        <w:rPr>
          <w:rFonts w:hint="eastAsia" w:ascii="仿宋" w:hAnsi="仿宋" w:eastAsia="仿宋"/>
          <w:bCs/>
          <w:sz w:val="32"/>
          <w:szCs w:val="32"/>
        </w:rPr>
        <w:t>补发</w:t>
      </w:r>
      <w:r>
        <w:rPr>
          <w:rFonts w:ascii="仿宋" w:hAnsi="仿宋" w:eastAsia="仿宋"/>
          <w:bCs/>
          <w:sz w:val="32"/>
          <w:szCs w:val="32"/>
        </w:rPr>
        <w:t>”</w:t>
      </w:r>
      <w:r>
        <w:rPr>
          <w:rFonts w:hint="eastAsia" w:ascii="仿宋" w:hAnsi="仿宋" w:eastAsia="仿宋"/>
          <w:bCs/>
          <w:sz w:val="32"/>
          <w:szCs w:val="32"/>
        </w:rPr>
        <w:t>字样。</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主办券商应当协助申请人在</w:t>
      </w:r>
      <w:r>
        <w:rPr>
          <w:rFonts w:hint="default" w:ascii="Times New Roman" w:hAnsi="Times New Roman" w:eastAsia="仿宋" w:cs="Times New Roman"/>
          <w:bCs/>
          <w:sz w:val="32"/>
          <w:szCs w:val="32"/>
        </w:rPr>
        <w:t>BPM</w:t>
      </w:r>
      <w:r>
        <w:rPr>
          <w:rFonts w:hint="eastAsia" w:ascii="仿宋" w:hAnsi="仿宋" w:eastAsia="仿宋"/>
          <w:bCs/>
          <w:sz w:val="32"/>
          <w:szCs w:val="32"/>
        </w:rPr>
        <w:t>系统</w:t>
      </w:r>
      <w:r>
        <w:rPr>
          <w:rFonts w:ascii="仿宋" w:hAnsi="仿宋" w:eastAsia="仿宋"/>
          <w:bCs/>
          <w:sz w:val="32"/>
          <w:szCs w:val="32"/>
        </w:rPr>
        <w:t>“</w:t>
      </w:r>
      <w:r>
        <w:rPr>
          <w:rFonts w:hint="eastAsia" w:ascii="仿宋" w:hAnsi="仿宋" w:eastAsia="仿宋"/>
          <w:bCs/>
          <w:sz w:val="32"/>
          <w:szCs w:val="32"/>
        </w:rPr>
        <w:t>挂牌前信息披露</w:t>
      </w:r>
      <w:r>
        <w:rPr>
          <w:rFonts w:ascii="仿宋" w:hAnsi="仿宋" w:eastAsia="仿宋"/>
          <w:bCs/>
          <w:sz w:val="32"/>
          <w:szCs w:val="32"/>
        </w:rPr>
        <w:t>”</w:t>
      </w:r>
      <w:r>
        <w:rPr>
          <w:rFonts w:hint="eastAsia" w:ascii="仿宋" w:hAnsi="仿宋" w:eastAsia="仿宋"/>
          <w:bCs/>
          <w:sz w:val="32"/>
          <w:szCs w:val="32"/>
        </w:rPr>
        <w:t>模块下的</w:t>
      </w:r>
      <w:r>
        <w:rPr>
          <w:rFonts w:ascii="仿宋" w:hAnsi="仿宋" w:eastAsia="仿宋"/>
          <w:bCs/>
          <w:sz w:val="32"/>
          <w:szCs w:val="32"/>
        </w:rPr>
        <w:t>“</w:t>
      </w:r>
      <w:r>
        <w:rPr>
          <w:rFonts w:hint="eastAsia" w:ascii="仿宋" w:hAnsi="仿宋" w:eastAsia="仿宋"/>
          <w:bCs/>
          <w:sz w:val="32"/>
          <w:szCs w:val="32"/>
        </w:rPr>
        <w:t>挂牌前临时公告</w:t>
      </w:r>
      <w:r>
        <w:rPr>
          <w:rFonts w:ascii="仿宋" w:hAnsi="仿宋" w:eastAsia="仿宋"/>
          <w:bCs/>
          <w:sz w:val="32"/>
          <w:szCs w:val="32"/>
        </w:rPr>
        <w:t>”</w:t>
      </w:r>
      <w:r>
        <w:rPr>
          <w:rFonts w:hint="eastAsia" w:ascii="仿宋" w:hAnsi="仿宋" w:eastAsia="仿宋"/>
          <w:bCs/>
          <w:sz w:val="32"/>
          <w:szCs w:val="32"/>
        </w:rPr>
        <w:t>栏目中</w:t>
      </w:r>
      <w:r>
        <w:rPr>
          <w:rFonts w:ascii="仿宋" w:hAnsi="仿宋" w:eastAsia="仿宋"/>
          <w:bCs/>
          <w:sz w:val="32"/>
          <w:szCs w:val="32"/>
        </w:rPr>
        <w:t>“</w:t>
      </w:r>
      <w:r>
        <w:rPr>
          <w:rFonts w:hint="eastAsia" w:ascii="仿宋" w:hAnsi="仿宋" w:eastAsia="仿宋"/>
          <w:bCs/>
          <w:sz w:val="32"/>
          <w:szCs w:val="32"/>
        </w:rPr>
        <w:t>补发公告</w:t>
      </w:r>
      <w:r>
        <w:rPr>
          <w:rFonts w:ascii="仿宋" w:hAnsi="仿宋" w:eastAsia="仿宋"/>
          <w:bCs/>
          <w:sz w:val="32"/>
          <w:szCs w:val="32"/>
        </w:rPr>
        <w:t>”</w:t>
      </w:r>
      <w:r>
        <w:rPr>
          <w:rFonts w:hint="eastAsia" w:ascii="仿宋" w:hAnsi="仿宋" w:eastAsia="仿宋"/>
          <w:bCs/>
          <w:sz w:val="32"/>
          <w:szCs w:val="32"/>
        </w:rPr>
        <w:t>端口，提交申请人的补发公告及主办券商的情况说明。</w:t>
      </w:r>
    </w:p>
    <w:p>
      <w:pPr>
        <w:spacing w:line="600" w:lineRule="exact"/>
        <w:ind w:firstLine="640" w:firstLineChars="200"/>
        <w:outlineLvl w:val="2"/>
        <w:rPr>
          <w:rFonts w:ascii="Times New Roman" w:hAnsi="Times New Roman" w:eastAsia="仿宋"/>
          <w:bCs/>
          <w:sz w:val="32"/>
          <w:szCs w:val="32"/>
        </w:rPr>
      </w:pPr>
      <w:r>
        <w:rPr>
          <w:rFonts w:hint="eastAsia" w:ascii="Times New Roman" w:hAnsi="Times New Roman" w:eastAsia="仿宋"/>
          <w:bCs/>
          <w:sz w:val="32"/>
          <w:szCs w:val="32"/>
        </w:rPr>
        <w:t>2.4</w:t>
      </w:r>
      <w:r>
        <w:rPr>
          <w:rFonts w:ascii="Times New Roman" w:hAnsi="Times New Roman" w:eastAsia="仿宋"/>
          <w:bCs/>
          <w:sz w:val="32"/>
          <w:szCs w:val="32"/>
        </w:rPr>
        <w:t>撤销公告适用于对挂牌前已披露公告的撤销，撤销的原公告名称后由BPM系统自动增加“（已取消）”字样。</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主办券商应当协助申请人在</w:t>
      </w:r>
      <w:r>
        <w:rPr>
          <w:rFonts w:hint="default" w:ascii="Times New Roman" w:hAnsi="Times New Roman" w:eastAsia="仿宋" w:cs="Times New Roman"/>
          <w:bCs/>
          <w:sz w:val="32"/>
          <w:szCs w:val="32"/>
        </w:rPr>
        <w:t>BPM</w:t>
      </w:r>
      <w:r>
        <w:rPr>
          <w:rFonts w:hint="eastAsia" w:ascii="仿宋" w:hAnsi="仿宋" w:eastAsia="仿宋"/>
          <w:bCs/>
          <w:sz w:val="32"/>
          <w:szCs w:val="32"/>
        </w:rPr>
        <w:t>系统</w:t>
      </w:r>
      <w:r>
        <w:rPr>
          <w:rFonts w:ascii="仿宋" w:hAnsi="仿宋" w:eastAsia="仿宋"/>
          <w:bCs/>
          <w:sz w:val="32"/>
          <w:szCs w:val="32"/>
        </w:rPr>
        <w:t>“</w:t>
      </w:r>
      <w:r>
        <w:rPr>
          <w:rFonts w:hint="eastAsia" w:ascii="仿宋" w:hAnsi="仿宋" w:eastAsia="仿宋"/>
          <w:bCs/>
          <w:sz w:val="32"/>
          <w:szCs w:val="32"/>
        </w:rPr>
        <w:t>挂牌前信息披露</w:t>
      </w:r>
      <w:r>
        <w:rPr>
          <w:rFonts w:ascii="仿宋" w:hAnsi="仿宋" w:eastAsia="仿宋"/>
          <w:bCs/>
          <w:sz w:val="32"/>
          <w:szCs w:val="32"/>
        </w:rPr>
        <w:t>”</w:t>
      </w:r>
      <w:r>
        <w:rPr>
          <w:rFonts w:hint="eastAsia" w:ascii="仿宋" w:hAnsi="仿宋" w:eastAsia="仿宋"/>
          <w:bCs/>
          <w:sz w:val="32"/>
          <w:szCs w:val="32"/>
        </w:rPr>
        <w:t>模块下的</w:t>
      </w:r>
      <w:r>
        <w:rPr>
          <w:rFonts w:ascii="仿宋" w:hAnsi="仿宋" w:eastAsia="仿宋"/>
          <w:bCs/>
          <w:sz w:val="32"/>
          <w:szCs w:val="32"/>
        </w:rPr>
        <w:t>“</w:t>
      </w:r>
      <w:r>
        <w:rPr>
          <w:rFonts w:hint="eastAsia" w:ascii="仿宋" w:hAnsi="仿宋" w:eastAsia="仿宋"/>
          <w:bCs/>
          <w:sz w:val="32"/>
          <w:szCs w:val="32"/>
        </w:rPr>
        <w:t>公告撤销</w:t>
      </w:r>
      <w:r>
        <w:rPr>
          <w:rFonts w:ascii="仿宋" w:hAnsi="仿宋" w:eastAsia="仿宋"/>
          <w:bCs/>
          <w:sz w:val="32"/>
          <w:szCs w:val="32"/>
        </w:rPr>
        <w:t>”</w:t>
      </w:r>
      <w:r>
        <w:rPr>
          <w:rFonts w:hint="eastAsia" w:ascii="仿宋" w:hAnsi="仿宋" w:eastAsia="仿宋"/>
          <w:bCs/>
          <w:sz w:val="32"/>
          <w:szCs w:val="32"/>
        </w:rPr>
        <w:t>栏目找到需要撤销的公告，点击</w:t>
      </w:r>
      <w:r>
        <w:rPr>
          <w:rFonts w:ascii="仿宋" w:hAnsi="仿宋" w:eastAsia="仿宋"/>
          <w:bCs/>
          <w:sz w:val="32"/>
          <w:szCs w:val="32"/>
        </w:rPr>
        <w:t>“</w:t>
      </w:r>
      <w:r>
        <w:rPr>
          <w:rFonts w:hint="eastAsia" w:ascii="仿宋" w:hAnsi="仿宋" w:eastAsia="仿宋"/>
          <w:bCs/>
          <w:sz w:val="32"/>
          <w:szCs w:val="32"/>
        </w:rPr>
        <w:t>申请撤销</w:t>
      </w:r>
      <w:r>
        <w:rPr>
          <w:rFonts w:ascii="仿宋" w:hAnsi="仿宋" w:eastAsia="仿宋"/>
          <w:bCs/>
          <w:sz w:val="32"/>
          <w:szCs w:val="32"/>
        </w:rPr>
        <w:t>”</w:t>
      </w:r>
      <w:r>
        <w:rPr>
          <w:rFonts w:hint="eastAsia" w:ascii="仿宋" w:hAnsi="仿宋" w:eastAsia="仿宋"/>
          <w:bCs/>
          <w:sz w:val="32"/>
          <w:szCs w:val="32"/>
        </w:rPr>
        <w:t>按钮，写明撤销原因，上传主办券商的情况说明。</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以上四种公告及相关申请文件均需加盖出具方公章或相应印章，经全国股转公司确认后，相关公告文件于交易日的</w:t>
      </w:r>
      <w:r>
        <w:rPr>
          <w:rFonts w:hint="default" w:ascii="Times New Roman" w:hAnsi="Times New Roman" w:eastAsia="仿宋" w:cs="Times New Roman"/>
          <w:bCs/>
          <w:sz w:val="32"/>
          <w:szCs w:val="32"/>
        </w:rPr>
        <w:t>15</w:t>
      </w:r>
      <w:r>
        <w:rPr>
          <w:rFonts w:hint="default" w:ascii="Times New Roman" w:hAnsi="Times New Roman" w:eastAsia="仿宋" w:cs="Times New Roman"/>
          <w:bCs/>
          <w:sz w:val="32"/>
          <w:szCs w:val="32"/>
          <w:lang w:val="en"/>
        </w:rPr>
        <w:t>:</w:t>
      </w:r>
      <w:r>
        <w:rPr>
          <w:rFonts w:hint="default" w:ascii="Times New Roman" w:hAnsi="Times New Roman" w:eastAsia="仿宋" w:cs="Times New Roman"/>
          <w:bCs/>
          <w:sz w:val="32"/>
          <w:szCs w:val="32"/>
        </w:rPr>
        <w:t>30</w:t>
      </w:r>
      <w:r>
        <w:rPr>
          <w:rFonts w:hint="eastAsia" w:ascii="仿宋" w:hAnsi="仿宋" w:eastAsia="仿宋"/>
          <w:bCs/>
          <w:sz w:val="32"/>
          <w:szCs w:val="32"/>
        </w:rPr>
        <w:t>后在</w:t>
      </w:r>
      <w:r>
        <w:rPr>
          <w:rFonts w:hint="default" w:ascii="Times New Roman" w:hAnsi="Times New Roman" w:eastAsia="仿宋" w:cs="Times New Roman"/>
          <w:bCs/>
          <w:sz w:val="32"/>
          <w:szCs w:val="32"/>
        </w:rPr>
        <w:t>www.neeq.com.cn</w:t>
      </w:r>
      <w:r>
        <w:rPr>
          <w:rFonts w:hint="eastAsia" w:ascii="仿宋" w:hAnsi="仿宋" w:eastAsia="仿宋"/>
          <w:bCs/>
          <w:sz w:val="32"/>
          <w:szCs w:val="32"/>
        </w:rPr>
        <w:t>或</w:t>
      </w:r>
      <w:r>
        <w:rPr>
          <w:rFonts w:hint="default" w:ascii="Times New Roman" w:hAnsi="Times New Roman" w:eastAsia="仿宋" w:cs="Times New Roman"/>
          <w:bCs/>
          <w:sz w:val="32"/>
          <w:szCs w:val="32"/>
        </w:rPr>
        <w:t>www.neeq.cc</w:t>
      </w:r>
      <w:r>
        <w:rPr>
          <w:rFonts w:hint="eastAsia" w:ascii="仿宋" w:hAnsi="仿宋" w:eastAsia="仿宋"/>
          <w:bCs/>
          <w:sz w:val="32"/>
          <w:szCs w:val="32"/>
        </w:rPr>
        <w:t>上进行披露或撤销。</w:t>
      </w:r>
    </w:p>
    <w:p>
      <w:pPr>
        <w:spacing w:line="600" w:lineRule="exact"/>
        <w:ind w:firstLine="640" w:firstLineChars="200"/>
        <w:outlineLvl w:val="2"/>
        <w:rPr>
          <w:rFonts w:ascii="Times New Roman" w:hAnsi="Times New Roman" w:eastAsia="仿宋"/>
          <w:bCs/>
          <w:sz w:val="32"/>
          <w:szCs w:val="32"/>
        </w:rPr>
      </w:pPr>
      <w:r>
        <w:rPr>
          <w:rFonts w:hint="eastAsia" w:ascii="Times New Roman" w:hAnsi="Times New Roman" w:eastAsia="仿宋"/>
          <w:bCs/>
          <w:sz w:val="32"/>
          <w:szCs w:val="32"/>
        </w:rPr>
        <w:t>2.5</w:t>
      </w:r>
      <w:r>
        <w:rPr>
          <w:rFonts w:ascii="Times New Roman" w:hAnsi="Times New Roman" w:eastAsia="仿宋"/>
          <w:bCs/>
          <w:sz w:val="32"/>
          <w:szCs w:val="32"/>
        </w:rPr>
        <w:t>挂牌公司挂牌前信息披露文件的更正。自申请人股票挂牌日起，挂牌公司对挂牌前信息披露文件的更正应当按照持续信息披露业务的要求完成，并及时告知全国股转公司。</w:t>
      </w:r>
    </w:p>
    <w:p>
      <w:pPr>
        <w:spacing w:line="600" w:lineRule="exact"/>
        <w:ind w:firstLine="640" w:firstLineChars="200"/>
        <w:outlineLvl w:val="0"/>
        <w:rPr>
          <w:rFonts w:ascii="Times New Roman" w:hAnsi="Times New Roman" w:eastAsia="黑体"/>
          <w:bCs/>
          <w:sz w:val="32"/>
          <w:szCs w:val="32"/>
        </w:rPr>
      </w:pPr>
      <w:r>
        <w:rPr>
          <w:rFonts w:hint="eastAsia" w:ascii="Times New Roman" w:hAnsi="Times New Roman" w:eastAsia="黑体"/>
          <w:bCs/>
          <w:sz w:val="32"/>
          <w:szCs w:val="32"/>
        </w:rPr>
        <w:t>3</w:t>
      </w:r>
      <w:r>
        <w:rPr>
          <w:rFonts w:ascii="Times New Roman" w:hAnsi="Times New Roman" w:eastAsia="黑体"/>
          <w:bCs/>
          <w:sz w:val="32"/>
          <w:szCs w:val="32"/>
        </w:rPr>
        <w:t>.其他事项</w:t>
      </w:r>
    </w:p>
    <w:p>
      <w:pPr>
        <w:spacing w:line="600" w:lineRule="exact"/>
        <w:ind w:firstLine="640" w:firstLineChars="200"/>
        <w:outlineLvl w:val="1"/>
        <w:rPr>
          <w:rFonts w:ascii="Times New Roman" w:hAnsi="Times New Roman" w:eastAsia="楷体"/>
          <w:bCs/>
          <w:sz w:val="32"/>
          <w:szCs w:val="32"/>
        </w:rPr>
      </w:pPr>
      <w:r>
        <w:rPr>
          <w:rFonts w:hint="eastAsia" w:ascii="Times New Roman" w:hAnsi="Times New Roman" w:eastAsia="楷体"/>
          <w:bCs/>
          <w:sz w:val="32"/>
          <w:szCs w:val="32"/>
        </w:rPr>
        <w:t>3</w:t>
      </w:r>
      <w:r>
        <w:rPr>
          <w:rFonts w:ascii="Times New Roman" w:hAnsi="Times New Roman" w:eastAsia="楷体"/>
          <w:bCs/>
          <w:sz w:val="32"/>
          <w:szCs w:val="32"/>
        </w:rPr>
        <w:t>.1暂停挂牌手续</w:t>
      </w:r>
    </w:p>
    <w:p>
      <w:pPr>
        <w:spacing w:line="600" w:lineRule="exact"/>
        <w:ind w:firstLine="640" w:firstLineChars="200"/>
        <w:outlineLvl w:val="2"/>
        <w:rPr>
          <w:rFonts w:ascii="Times New Roman" w:hAnsi="Times New Roman" w:eastAsia="仿宋"/>
          <w:bCs/>
          <w:sz w:val="32"/>
          <w:szCs w:val="32"/>
        </w:rPr>
      </w:pPr>
      <w:r>
        <w:rPr>
          <w:rFonts w:hint="eastAsia" w:ascii="Times New Roman" w:hAnsi="Times New Roman" w:eastAsia="仿宋"/>
          <w:bCs/>
          <w:sz w:val="32"/>
          <w:szCs w:val="32"/>
        </w:rPr>
        <w:t>3.1.1</w:t>
      </w:r>
      <w:r>
        <w:rPr>
          <w:rFonts w:ascii="Times New Roman" w:hAnsi="Times New Roman" w:eastAsia="仿宋"/>
          <w:bCs/>
          <w:sz w:val="32"/>
          <w:szCs w:val="32"/>
        </w:rPr>
        <w:t>暂停挂牌手续的适用情形</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申请人取得同意函后，在办理挂牌手续期间发生以下情形的，应做暂停挂牌手续处理。</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（1）存在申请人控股股东或实际控制人失联</w:t>
      </w:r>
      <w:r>
        <w:rPr>
          <w:rFonts w:hint="eastAsia" w:ascii="Times New Roman" w:hAnsi="Times New Roman" w:eastAsia="仿宋"/>
          <w:bCs/>
          <w:sz w:val="32"/>
          <w:szCs w:val="32"/>
        </w:rPr>
        <w:t>等可能</w:t>
      </w:r>
      <w:r>
        <w:rPr>
          <w:rFonts w:ascii="Times New Roman" w:hAnsi="Times New Roman" w:eastAsia="仿宋"/>
          <w:bCs/>
          <w:sz w:val="32"/>
          <w:szCs w:val="32"/>
        </w:rPr>
        <w:t>影响公司挂牌的情形；</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（2）存在影响申请人股票挂牌的信访举报；</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（3）存在其他应报告而未报告涉及股票挂牌条件的事项。</w:t>
      </w:r>
    </w:p>
    <w:p>
      <w:pPr>
        <w:spacing w:line="600" w:lineRule="exact"/>
        <w:ind w:firstLine="640" w:firstLineChars="200"/>
        <w:outlineLvl w:val="2"/>
        <w:rPr>
          <w:rFonts w:ascii="Times New Roman" w:hAnsi="Times New Roman" w:eastAsia="仿宋"/>
          <w:bCs/>
          <w:sz w:val="32"/>
          <w:szCs w:val="32"/>
        </w:rPr>
      </w:pPr>
      <w:r>
        <w:rPr>
          <w:rFonts w:ascii="Times New Roman" w:hAnsi="Times New Roman" w:eastAsia="仿宋"/>
          <w:bCs/>
          <w:sz w:val="32"/>
          <w:szCs w:val="32"/>
        </w:rPr>
        <w:t>3.1.2暂停挂牌手续的流程</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暂停挂牌手续流程包含以下两种情形：</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（1）申请人或主办券商申请暂停挂牌手续。存在暂停挂牌手续适用情形时，主办券商应</w:t>
      </w:r>
      <w:r>
        <w:rPr>
          <w:rFonts w:hint="eastAsia" w:ascii="Times New Roman" w:hAnsi="Times New Roman" w:eastAsia="仿宋"/>
          <w:bCs/>
          <w:sz w:val="32"/>
          <w:szCs w:val="32"/>
        </w:rPr>
        <w:t>当</w:t>
      </w:r>
      <w:r>
        <w:rPr>
          <w:rFonts w:ascii="Times New Roman" w:hAnsi="Times New Roman" w:eastAsia="仿宋"/>
          <w:bCs/>
          <w:sz w:val="32"/>
          <w:szCs w:val="32"/>
        </w:rPr>
        <w:t>立即向全国股转公司报告并协助申请人通过BPM系统提交加盖公章的暂停挂牌手续的申请，申请中应写明申请暂停的原因、该事件对申请人产生的影响、预计消除的时间等信息。全国股转公司根据其申请履行暂停挂牌手续的程序。</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如需要暂停的项目已经完成挂牌手续处于即将挂牌状态的，应</w:t>
      </w:r>
      <w:r>
        <w:rPr>
          <w:rFonts w:hint="eastAsia" w:ascii="Times New Roman" w:hAnsi="Times New Roman" w:eastAsia="仿宋"/>
          <w:bCs/>
          <w:sz w:val="32"/>
          <w:szCs w:val="32"/>
        </w:rPr>
        <w:t>当</w:t>
      </w:r>
      <w:r>
        <w:rPr>
          <w:rFonts w:ascii="Times New Roman" w:hAnsi="Times New Roman" w:eastAsia="仿宋"/>
          <w:bCs/>
          <w:sz w:val="32"/>
          <w:szCs w:val="32"/>
        </w:rPr>
        <w:t>立即启动紧急暂停挂牌手续的程序，主办券商应当第一时间与全国股转公司取得联系，由全国股转公司启动暂停挂牌手续的程序，主办券商应当协助申请人在次日向全国股转公司补充提交盖章版暂停申请文件，履行暂停挂牌手续的程序。</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（2）全国股转公司发起暂停挂牌手续。全国股转公司发现申请人存在暂停挂牌手续适用情形或发生其他影响股票挂牌的事项时，将通过BPM系统发起暂停挂牌手续的程序，并及时通知主办券商。</w:t>
      </w:r>
    </w:p>
    <w:p>
      <w:pPr>
        <w:spacing w:line="600" w:lineRule="exact"/>
        <w:ind w:firstLine="640" w:firstLineChars="200"/>
        <w:outlineLvl w:val="2"/>
        <w:rPr>
          <w:rFonts w:ascii="Times New Roman" w:hAnsi="Times New Roman" w:eastAsia="仿宋"/>
          <w:bCs/>
          <w:sz w:val="32"/>
          <w:szCs w:val="32"/>
        </w:rPr>
      </w:pPr>
      <w:r>
        <w:rPr>
          <w:rFonts w:ascii="Times New Roman" w:hAnsi="Times New Roman" w:eastAsia="仿宋"/>
          <w:bCs/>
          <w:sz w:val="32"/>
          <w:szCs w:val="32"/>
        </w:rPr>
        <w:t>3.1.3恢复挂牌手续</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申请人暂停挂牌手续的事项消除后，主办券商应当协助申请人申请恢复挂牌手续，或由全国股转公司发起恢复挂牌手续：</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申请人或主办券商申请恢复挂牌手续。经申请人或主办券商申请暂停的项目，暂停事项已经消除的，主办券商应当协助申请人通过BPM系统提交加盖公章的恢复挂牌手续的申请，申请文件应当写明暂停挂牌手续事项消除的具体情况、对公司股票挂牌的影响，全国股转公司根据其申请履行恢复挂牌手续流程。</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（2）全国股转公司发起恢复挂牌手续。经全国股转公司发起暂停的项目，暂停事项已经消除的，由全国股转公司通过BPM系统履行恢复挂牌手续程序，并通知主办券商。</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已恢复挂牌手续的项目按照本指南规定的业务流程继续完成后续挂牌程序。</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如暂停挂牌手续事项属实，公司不符合挂牌条件的，或申请人撤回申请材料的，申请人和主办券商应当按照“</w:t>
      </w:r>
      <w:r>
        <w:rPr>
          <w:rFonts w:hint="default" w:ascii="Times New Roman" w:hAnsi="Times New Roman" w:eastAsia="仿宋" w:cs="Times New Roman"/>
          <w:bCs/>
          <w:sz w:val="32"/>
          <w:szCs w:val="32"/>
        </w:rPr>
        <w:t>3</w:t>
      </w:r>
      <w:r>
        <w:rPr>
          <w:rFonts w:hint="eastAsia" w:ascii="Times New Roman" w:hAnsi="Times New Roman" w:eastAsia="仿宋" w:cs="Times New Roman"/>
          <w:bCs/>
          <w:sz w:val="32"/>
          <w:szCs w:val="32"/>
        </w:rPr>
        <w:t>.2</w:t>
      </w:r>
      <w:r>
        <w:rPr>
          <w:rFonts w:hint="eastAsia" w:ascii="Times New Roman" w:hAnsi="Times New Roman" w:eastAsia="仿宋"/>
          <w:bCs/>
          <w:sz w:val="32"/>
          <w:szCs w:val="32"/>
        </w:rPr>
        <w:t>终止挂牌手续</w:t>
      </w:r>
      <w:r>
        <w:rPr>
          <w:rFonts w:ascii="Times New Roman" w:hAnsi="Times New Roman" w:eastAsia="仿宋"/>
          <w:bCs/>
          <w:sz w:val="32"/>
          <w:szCs w:val="32"/>
        </w:rPr>
        <w:t>”的规定办理。</w:t>
      </w:r>
    </w:p>
    <w:p>
      <w:pPr>
        <w:spacing w:line="600" w:lineRule="exact"/>
        <w:ind w:firstLine="640" w:firstLineChars="200"/>
        <w:outlineLvl w:val="1"/>
        <w:rPr>
          <w:rFonts w:ascii="Times New Roman" w:hAnsi="Times New Roman" w:eastAsia="楷体"/>
          <w:bCs/>
          <w:sz w:val="32"/>
          <w:szCs w:val="32"/>
        </w:rPr>
      </w:pPr>
      <w:r>
        <w:rPr>
          <w:rFonts w:hint="eastAsia" w:ascii="Times New Roman" w:hAnsi="Times New Roman" w:eastAsia="楷体"/>
          <w:bCs/>
          <w:sz w:val="32"/>
          <w:szCs w:val="32"/>
        </w:rPr>
        <w:t>3</w:t>
      </w:r>
      <w:r>
        <w:rPr>
          <w:rFonts w:ascii="Times New Roman" w:hAnsi="Times New Roman" w:eastAsia="楷体"/>
          <w:bCs/>
          <w:sz w:val="32"/>
          <w:szCs w:val="32"/>
        </w:rPr>
        <w:t>.2终止挂牌手续</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在取得同意函但尚未完成股票挂牌的情况下</w:t>
      </w:r>
      <w:r>
        <w:rPr>
          <w:rFonts w:hint="eastAsia" w:ascii="Times New Roman" w:hAnsi="Times New Roman" w:eastAsia="仿宋"/>
          <w:bCs/>
          <w:sz w:val="32"/>
          <w:szCs w:val="32"/>
        </w:rPr>
        <w:t>，</w:t>
      </w:r>
      <w:r>
        <w:rPr>
          <w:rFonts w:ascii="Times New Roman" w:hAnsi="Times New Roman" w:eastAsia="仿宋"/>
          <w:bCs/>
          <w:sz w:val="32"/>
          <w:szCs w:val="32"/>
        </w:rPr>
        <w:t>申请人可以申请终止挂牌手续；出现不符合挂牌条件或</w:t>
      </w:r>
      <w:r>
        <w:rPr>
          <w:rFonts w:hint="eastAsia" w:ascii="Times New Roman" w:hAnsi="Times New Roman" w:eastAsia="仿宋"/>
          <w:bCs/>
          <w:sz w:val="32"/>
          <w:szCs w:val="32"/>
        </w:rPr>
        <w:t>取得</w:t>
      </w:r>
      <w:r>
        <w:rPr>
          <w:rFonts w:ascii="Times New Roman" w:hAnsi="Times New Roman" w:eastAsia="仿宋"/>
          <w:bCs/>
          <w:sz w:val="32"/>
          <w:szCs w:val="32"/>
        </w:rPr>
        <w:t>同意函</w:t>
      </w:r>
      <w:r>
        <w:rPr>
          <w:rFonts w:hint="eastAsia" w:ascii="Times New Roman" w:hAnsi="Times New Roman" w:eastAsia="仿宋"/>
          <w:bCs/>
          <w:sz w:val="32"/>
          <w:szCs w:val="32"/>
        </w:rPr>
        <w:t>12个月以内未完成股票挂牌</w:t>
      </w:r>
      <w:r>
        <w:rPr>
          <w:rFonts w:ascii="Times New Roman" w:hAnsi="Times New Roman" w:eastAsia="仿宋"/>
          <w:bCs/>
          <w:sz w:val="32"/>
          <w:szCs w:val="32"/>
        </w:rPr>
        <w:t>等情形时，全国股转公司可以发起终止挂牌手续的程序。</w:t>
      </w:r>
    </w:p>
    <w:p>
      <w:pPr>
        <w:widowControl/>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申请人申请终止挂牌手续的，主办券商应当协助申请人在</w:t>
      </w:r>
      <w:r>
        <w:rPr>
          <w:rFonts w:hint="default" w:ascii="Times New Roman" w:hAnsi="Times New Roman" w:eastAsia="仿宋" w:cs="Times New Roman"/>
          <w:bCs/>
          <w:sz w:val="32"/>
          <w:szCs w:val="32"/>
        </w:rPr>
        <w:t>BPM</w:t>
      </w:r>
      <w:r>
        <w:rPr>
          <w:rFonts w:hint="eastAsia" w:ascii="仿宋" w:hAnsi="仿宋" w:eastAsia="仿宋"/>
          <w:bCs/>
          <w:sz w:val="32"/>
          <w:szCs w:val="32"/>
        </w:rPr>
        <w:t>系统</w:t>
      </w:r>
      <w:r>
        <w:rPr>
          <w:rFonts w:ascii="仿宋" w:hAnsi="仿宋" w:eastAsia="仿宋"/>
          <w:bCs/>
          <w:sz w:val="32"/>
          <w:szCs w:val="32"/>
        </w:rPr>
        <w:t>“</w:t>
      </w:r>
      <w:r>
        <w:rPr>
          <w:rFonts w:hint="eastAsia" w:ascii="仿宋" w:hAnsi="仿宋" w:eastAsia="仿宋"/>
          <w:bCs/>
          <w:sz w:val="32"/>
          <w:szCs w:val="32"/>
        </w:rPr>
        <w:t>挂牌审核管理</w:t>
      </w:r>
      <w:r>
        <w:rPr>
          <w:rFonts w:ascii="仿宋" w:hAnsi="仿宋" w:eastAsia="仿宋"/>
          <w:bCs/>
          <w:sz w:val="32"/>
          <w:szCs w:val="32"/>
        </w:rPr>
        <w:t>”</w:t>
      </w:r>
      <w:r>
        <w:rPr>
          <w:rFonts w:hint="eastAsia" w:ascii="仿宋" w:hAnsi="仿宋" w:eastAsia="仿宋"/>
          <w:bCs/>
          <w:sz w:val="32"/>
          <w:szCs w:val="32"/>
        </w:rPr>
        <w:t>模块中</w:t>
      </w:r>
      <w:r>
        <w:rPr>
          <w:rFonts w:ascii="仿宋" w:hAnsi="仿宋" w:eastAsia="仿宋"/>
          <w:bCs/>
          <w:sz w:val="32"/>
          <w:szCs w:val="32"/>
        </w:rPr>
        <w:t>“</w:t>
      </w:r>
      <w:r>
        <w:rPr>
          <w:rFonts w:hint="eastAsia" w:ascii="仿宋" w:hAnsi="仿宋" w:eastAsia="仿宋"/>
          <w:bCs/>
          <w:sz w:val="32"/>
          <w:szCs w:val="32"/>
        </w:rPr>
        <w:t>挂牌项目</w:t>
      </w:r>
      <w:r>
        <w:rPr>
          <w:rFonts w:ascii="仿宋" w:hAnsi="仿宋" w:eastAsia="仿宋"/>
          <w:bCs/>
          <w:sz w:val="32"/>
          <w:szCs w:val="32"/>
        </w:rPr>
        <w:t>”</w:t>
      </w:r>
      <w:r>
        <w:rPr>
          <w:rFonts w:hint="eastAsia" w:ascii="仿宋" w:hAnsi="仿宋" w:eastAsia="仿宋"/>
          <w:bCs/>
          <w:sz w:val="32"/>
          <w:szCs w:val="32"/>
        </w:rPr>
        <w:t>栏目找到需要终止挂牌手续的项目，点击</w:t>
      </w:r>
      <w:r>
        <w:rPr>
          <w:rFonts w:ascii="仿宋" w:hAnsi="仿宋" w:eastAsia="仿宋"/>
          <w:bCs/>
          <w:sz w:val="32"/>
          <w:szCs w:val="32"/>
        </w:rPr>
        <w:t>“</w:t>
      </w:r>
      <w:r>
        <w:rPr>
          <w:rFonts w:hint="eastAsia" w:ascii="仿宋" w:hAnsi="仿宋" w:eastAsia="仿宋"/>
          <w:bCs/>
          <w:sz w:val="32"/>
          <w:szCs w:val="32"/>
        </w:rPr>
        <w:t>终止申请</w:t>
      </w:r>
      <w:r>
        <w:rPr>
          <w:rFonts w:ascii="仿宋" w:hAnsi="仿宋" w:eastAsia="仿宋"/>
          <w:bCs/>
          <w:sz w:val="32"/>
          <w:szCs w:val="32"/>
        </w:rPr>
        <w:t>”</w:t>
      </w:r>
      <w:r>
        <w:rPr>
          <w:rFonts w:hint="eastAsia" w:ascii="仿宋" w:hAnsi="仿宋" w:eastAsia="仿宋"/>
          <w:bCs/>
          <w:sz w:val="32"/>
          <w:szCs w:val="32"/>
        </w:rPr>
        <w:t>并上传加盖公章的申请文件，申请中应当写明申请终止的原因、履行的审议程序、公司股东是否对终止挂牌手续存在纠纷等事项。经全国股转公司确认通过后，主办券商在</w:t>
      </w:r>
      <w:r>
        <w:rPr>
          <w:rFonts w:ascii="仿宋" w:hAnsi="仿宋" w:eastAsia="仿宋"/>
          <w:bCs/>
          <w:sz w:val="32"/>
          <w:szCs w:val="32"/>
        </w:rPr>
        <w:t>“</w:t>
      </w:r>
      <w:r>
        <w:rPr>
          <w:rFonts w:hint="eastAsia" w:ascii="仿宋" w:hAnsi="仿宋" w:eastAsia="仿宋"/>
          <w:bCs/>
          <w:sz w:val="32"/>
          <w:szCs w:val="32"/>
        </w:rPr>
        <w:t>挂牌审核管理</w:t>
      </w:r>
      <w:r>
        <w:rPr>
          <w:rFonts w:ascii="仿宋" w:hAnsi="仿宋" w:eastAsia="仿宋"/>
          <w:bCs/>
          <w:sz w:val="32"/>
          <w:szCs w:val="32"/>
        </w:rPr>
        <w:t>”</w:t>
      </w:r>
      <w:r>
        <w:rPr>
          <w:rFonts w:hint="eastAsia" w:ascii="仿宋" w:hAnsi="仿宋" w:eastAsia="仿宋"/>
          <w:bCs/>
          <w:sz w:val="32"/>
          <w:szCs w:val="32"/>
        </w:rPr>
        <w:t>模块</w:t>
      </w:r>
      <w:r>
        <w:rPr>
          <w:rFonts w:ascii="仿宋" w:hAnsi="仿宋" w:eastAsia="仿宋"/>
          <w:bCs/>
          <w:sz w:val="32"/>
          <w:szCs w:val="32"/>
        </w:rPr>
        <w:t>“</w:t>
      </w:r>
      <w:r>
        <w:rPr>
          <w:rFonts w:hint="eastAsia" w:ascii="仿宋" w:hAnsi="仿宋" w:eastAsia="仿宋"/>
          <w:bCs/>
          <w:sz w:val="32"/>
          <w:szCs w:val="32"/>
        </w:rPr>
        <w:t>终止审核</w:t>
      </w:r>
      <w:r>
        <w:rPr>
          <w:rFonts w:ascii="仿宋" w:hAnsi="仿宋" w:eastAsia="仿宋"/>
          <w:bCs/>
          <w:sz w:val="32"/>
          <w:szCs w:val="32"/>
        </w:rPr>
        <w:t>”</w:t>
      </w:r>
      <w:r>
        <w:rPr>
          <w:rFonts w:hint="eastAsia" w:ascii="仿宋" w:hAnsi="仿宋" w:eastAsia="仿宋"/>
          <w:bCs/>
          <w:sz w:val="32"/>
          <w:szCs w:val="32"/>
        </w:rPr>
        <w:t>栏目中获取作废同意函的通知。</w:t>
      </w:r>
    </w:p>
    <w:p>
      <w:pPr>
        <w:widowControl/>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lang w:eastAsia="zh-CN"/>
        </w:rPr>
        <w:t>申请人</w:t>
      </w:r>
      <w:r>
        <w:rPr>
          <w:rFonts w:hint="eastAsia" w:ascii="仿宋" w:hAnsi="仿宋" w:eastAsia="仿宋"/>
          <w:bCs/>
          <w:sz w:val="32"/>
          <w:szCs w:val="32"/>
        </w:rPr>
        <w:t>终止</w:t>
      </w:r>
      <w:r>
        <w:rPr>
          <w:rFonts w:hint="eastAsia" w:ascii="仿宋" w:hAnsi="仿宋" w:eastAsia="仿宋"/>
          <w:bCs/>
          <w:sz w:val="32"/>
          <w:szCs w:val="32"/>
          <w:lang w:eastAsia="zh-CN"/>
        </w:rPr>
        <w:t>办理</w:t>
      </w:r>
      <w:r>
        <w:rPr>
          <w:rFonts w:hint="eastAsia" w:ascii="仿宋" w:hAnsi="仿宋" w:eastAsia="仿宋"/>
          <w:bCs/>
          <w:sz w:val="32"/>
          <w:szCs w:val="32"/>
        </w:rPr>
        <w:t>挂牌手续的，若已在中国结算北京分公司完成股票初始登记，主办券商应当协助申请人向中国结算北京分公司申请办理股份退出登记。</w:t>
      </w:r>
    </w:p>
    <w:p>
      <w:pPr>
        <w:spacing w:line="600" w:lineRule="exact"/>
        <w:ind w:firstLine="640" w:firstLineChars="200"/>
        <w:outlineLvl w:val="0"/>
        <w:rPr>
          <w:rFonts w:ascii="Times New Roman" w:hAnsi="Times New Roman" w:eastAsia="黑体"/>
          <w:bCs/>
          <w:sz w:val="32"/>
          <w:szCs w:val="32"/>
        </w:rPr>
      </w:pPr>
      <w:r>
        <w:rPr>
          <w:rFonts w:hint="eastAsia" w:ascii="Times New Roman" w:hAnsi="Times New Roman" w:eastAsia="黑体"/>
          <w:bCs/>
          <w:sz w:val="32"/>
          <w:szCs w:val="32"/>
        </w:rPr>
        <w:t>4</w:t>
      </w:r>
      <w:r>
        <w:rPr>
          <w:rFonts w:ascii="Times New Roman" w:hAnsi="Times New Roman" w:eastAsia="黑体"/>
          <w:bCs/>
          <w:sz w:val="32"/>
          <w:szCs w:val="32"/>
        </w:rPr>
        <w:t>.</w:t>
      </w:r>
      <w:r>
        <w:rPr>
          <w:rFonts w:hint="eastAsia" w:ascii="Times New Roman" w:hAnsi="Times New Roman" w:eastAsia="黑体"/>
          <w:bCs/>
          <w:sz w:val="32"/>
          <w:szCs w:val="32"/>
        </w:rPr>
        <w:t>附则</w:t>
      </w:r>
    </w:p>
    <w:p>
      <w:pPr>
        <w:widowControl/>
        <w:adjustRightInd w:val="0"/>
        <w:snapToGrid w:val="0"/>
        <w:spacing w:line="56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挂牌同时定向发行可转债等其他</w:t>
      </w:r>
      <w:r>
        <w:rPr>
          <w:rFonts w:ascii="Times New Roman" w:hAnsi="Times New Roman" w:eastAsia="仿宋"/>
          <w:bCs/>
          <w:sz w:val="32"/>
          <w:szCs w:val="32"/>
        </w:rPr>
        <w:t>证券</w:t>
      </w:r>
      <w:r>
        <w:rPr>
          <w:rFonts w:hint="eastAsia" w:ascii="Times New Roman" w:hAnsi="Times New Roman" w:eastAsia="仿宋"/>
          <w:bCs/>
          <w:sz w:val="32"/>
          <w:szCs w:val="32"/>
        </w:rPr>
        <w:t>品种</w:t>
      </w:r>
      <w:r>
        <w:rPr>
          <w:rFonts w:ascii="Times New Roman" w:hAnsi="Times New Roman" w:eastAsia="仿宋"/>
          <w:bCs/>
          <w:sz w:val="32"/>
          <w:szCs w:val="32"/>
        </w:rPr>
        <w:t>的</w:t>
      </w:r>
      <w:r>
        <w:rPr>
          <w:rFonts w:hint="eastAsia" w:ascii="Times New Roman" w:hAnsi="Times New Roman" w:eastAsia="仿宋"/>
          <w:bCs/>
          <w:sz w:val="32"/>
          <w:szCs w:val="32"/>
        </w:rPr>
        <w:t>，参照本指南有关规定办理。</w:t>
      </w:r>
    </w:p>
    <w:p>
      <w:pPr>
        <w:widowControl/>
        <w:jc w:val="left"/>
        <w:rPr>
          <w:rFonts w:ascii="Times New Roman" w:hAnsi="Times New Roman" w:eastAsia="黑体"/>
          <w:bCs/>
          <w:sz w:val="32"/>
          <w:szCs w:val="32"/>
        </w:rPr>
      </w:pPr>
    </w:p>
    <w:p>
      <w:pPr>
        <w:widowControl/>
        <w:jc w:val="left"/>
        <w:rPr>
          <w:rFonts w:ascii="Times New Roman" w:hAnsi="Times New Roman" w:eastAsia="黑体"/>
          <w:bCs/>
          <w:sz w:val="32"/>
          <w:szCs w:val="32"/>
        </w:rPr>
      </w:pPr>
    </w:p>
    <w:p>
      <w:pPr>
        <w:widowControl/>
        <w:ind w:firstLine="640" w:firstLineChars="200"/>
        <w:jc w:val="left"/>
        <w:rPr>
          <w:rFonts w:ascii="Times New Roman" w:hAnsi="Times New Roman" w:eastAsia="黑体"/>
          <w:bCs/>
          <w:sz w:val="32"/>
          <w:szCs w:val="32"/>
        </w:rPr>
      </w:pPr>
      <w:r>
        <w:rPr>
          <w:rFonts w:ascii="Times New Roman" w:hAnsi="Times New Roman" w:eastAsia="黑体"/>
          <w:bCs/>
          <w:sz w:val="32"/>
          <w:szCs w:val="32"/>
        </w:rPr>
        <w:t>附件</w:t>
      </w:r>
      <w:r>
        <w:rPr>
          <w:rFonts w:hint="eastAsia" w:ascii="Times New Roman" w:hAnsi="Times New Roman" w:eastAsia="黑体"/>
          <w:bCs/>
          <w:sz w:val="32"/>
          <w:szCs w:val="32"/>
          <w:lang w:eastAsia="zh-CN"/>
        </w:rPr>
        <w:t>：</w:t>
      </w:r>
      <w:r>
        <w:rPr>
          <w:rFonts w:ascii="Times New Roman" w:hAnsi="Times New Roman" w:eastAsia="仿宋"/>
          <w:bCs/>
          <w:sz w:val="32"/>
          <w:szCs w:val="32"/>
        </w:rPr>
        <w:t>1. 证券简称及证券代码申请书</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 xml:space="preserve">      2. 股票挂牌重大事项确认函</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 xml:space="preserve">  </w:t>
      </w:r>
      <w:bookmarkStart w:id="0" w:name="_GoBack"/>
      <w:bookmarkEnd w:id="0"/>
      <w:r>
        <w:rPr>
          <w:rFonts w:ascii="Times New Roman" w:hAnsi="Times New Roman" w:eastAsia="仿宋"/>
          <w:bCs/>
          <w:sz w:val="32"/>
          <w:szCs w:val="32"/>
        </w:rPr>
        <w:t xml:space="preserve">    3. 关于股票挂牌的提示性公告</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 xml:space="preserve">      4. 关于完成工商变更登记手续的公告</w:t>
      </w:r>
    </w:p>
    <w:p>
      <w:pPr>
        <w:widowControl/>
        <w:jc w:val="left"/>
        <w:rPr>
          <w:rFonts w:ascii="Times New Roman" w:hAnsi="Times New Roman" w:eastAsia="方正仿宋简体"/>
          <w:b/>
          <w:kern w:val="0"/>
          <w:sz w:val="30"/>
          <w:szCs w:val="30"/>
        </w:rPr>
      </w:pPr>
      <w:r>
        <w:rPr>
          <w:rFonts w:ascii="Times New Roman" w:hAnsi="Times New Roman" w:eastAsia="方正仿宋简体"/>
          <w:b/>
          <w:kern w:val="0"/>
          <w:sz w:val="30"/>
          <w:szCs w:val="30"/>
        </w:rPr>
        <w:br w:type="page"/>
      </w:r>
    </w:p>
    <w:p>
      <w:pPr>
        <w:spacing w:line="600" w:lineRule="exact"/>
        <w:outlineLvl w:val="0"/>
        <w:rPr>
          <w:rFonts w:ascii="Times New Roman" w:hAnsi="Times New Roman" w:eastAsia="黑体"/>
          <w:bCs/>
          <w:sz w:val="32"/>
          <w:szCs w:val="32"/>
        </w:rPr>
      </w:pPr>
      <w:r>
        <w:rPr>
          <w:rFonts w:ascii="Times New Roman" w:hAnsi="Times New Roman" w:eastAsia="黑体"/>
          <w:bCs/>
          <w:sz w:val="32"/>
          <w:szCs w:val="32"/>
        </w:rPr>
        <w:t>附件1</w:t>
      </w:r>
    </w:p>
    <w:p>
      <w:pPr>
        <w:pStyle w:val="20"/>
        <w:widowControl/>
        <w:ind w:left="720" w:firstLine="0" w:firstLineChars="0"/>
        <w:jc w:val="left"/>
        <w:rPr>
          <w:rFonts w:ascii="Times New Roman" w:hAnsi="Times New Roman" w:eastAsia="方正仿宋简体"/>
          <w:b/>
          <w:kern w:val="0"/>
          <w:sz w:val="30"/>
          <w:szCs w:val="30"/>
        </w:rPr>
      </w:pPr>
    </w:p>
    <w:p>
      <w:pPr>
        <w:spacing w:line="600" w:lineRule="exact"/>
        <w:jc w:val="center"/>
        <w:rPr>
          <w:rFonts w:ascii="Times New Roman" w:hAnsi="Times New Roman" w:eastAsia="方正大标宋简体"/>
          <w:sz w:val="44"/>
          <w:szCs w:val="32"/>
        </w:rPr>
      </w:pPr>
      <w:r>
        <w:rPr>
          <w:rFonts w:ascii="Times New Roman" w:hAnsi="Times New Roman" w:eastAsia="方正大标宋简体"/>
          <w:sz w:val="44"/>
          <w:szCs w:val="32"/>
        </w:rPr>
        <w:t>______股份有限公司股票</w:t>
      </w:r>
    </w:p>
    <w:p>
      <w:pPr>
        <w:spacing w:line="600" w:lineRule="exact"/>
        <w:jc w:val="center"/>
        <w:rPr>
          <w:rFonts w:ascii="Times New Roman" w:hAnsi="Times New Roman" w:eastAsia="方正大标宋简体"/>
          <w:sz w:val="44"/>
          <w:szCs w:val="32"/>
        </w:rPr>
      </w:pPr>
      <w:r>
        <w:rPr>
          <w:rFonts w:ascii="Times New Roman" w:hAnsi="Times New Roman" w:eastAsia="方正大标宋简体"/>
          <w:sz w:val="44"/>
          <w:szCs w:val="32"/>
        </w:rPr>
        <w:t>证券简称及证券代码申请书</w:t>
      </w:r>
    </w:p>
    <w:p>
      <w:pPr>
        <w:widowControl/>
        <w:jc w:val="left"/>
        <w:rPr>
          <w:rFonts w:ascii="Times New Roman" w:hAnsi="Times New Roman" w:eastAsia="仿宋"/>
          <w:bCs/>
          <w:sz w:val="28"/>
          <w:szCs w:val="28"/>
        </w:rPr>
      </w:pPr>
    </w:p>
    <w:p>
      <w:pPr>
        <w:widowControl/>
        <w:adjustRightInd w:val="0"/>
        <w:snapToGrid w:val="0"/>
        <w:spacing w:line="600" w:lineRule="exact"/>
        <w:rPr>
          <w:rFonts w:ascii="Times New Roman" w:hAnsi="Times New Roman" w:eastAsia="仿宋"/>
          <w:bCs/>
          <w:sz w:val="32"/>
          <w:szCs w:val="32"/>
        </w:rPr>
      </w:pPr>
      <w:r>
        <w:rPr>
          <w:rFonts w:ascii="Times New Roman" w:hAnsi="Times New Roman" w:eastAsia="仿宋"/>
          <w:bCs/>
          <w:sz w:val="32"/>
          <w:szCs w:val="32"/>
        </w:rPr>
        <w:t>全国中小企业股份转让系统有限责任公司：</w:t>
      </w:r>
    </w:p>
    <w:p>
      <w:pPr>
        <w:widowControl/>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我公司股票拟在全国中小企业股份转让系统挂牌公开转让。</w:t>
      </w:r>
    </w:p>
    <w:p>
      <w:pPr>
        <w:widowControl/>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特向贵公司申请证券简称及证券代码，挂牌公开转让的证券简称拟定为______。</w:t>
      </w:r>
    </w:p>
    <w:p>
      <w:pPr>
        <w:widowControl/>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请予核定。</w:t>
      </w:r>
    </w:p>
    <w:p>
      <w:pPr>
        <w:widowControl/>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申请公司经办人签名：</w:t>
      </w:r>
    </w:p>
    <w:p>
      <w:pPr>
        <w:widowControl/>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联系电话：</w:t>
      </w:r>
    </w:p>
    <w:p>
      <w:pPr>
        <w:widowControl/>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传真：</w:t>
      </w:r>
    </w:p>
    <w:p>
      <w:pPr>
        <w:widowControl/>
        <w:adjustRightInd w:val="0"/>
        <w:snapToGrid w:val="0"/>
        <w:spacing w:line="600" w:lineRule="exact"/>
        <w:ind w:firstLine="640" w:firstLineChars="200"/>
        <w:rPr>
          <w:rFonts w:ascii="Times New Roman" w:hAnsi="Times New Roman" w:eastAsia="仿宋"/>
          <w:bCs/>
          <w:sz w:val="32"/>
          <w:szCs w:val="32"/>
        </w:rPr>
      </w:pPr>
    </w:p>
    <w:p>
      <w:pPr>
        <w:widowControl/>
        <w:adjustRightInd w:val="0"/>
        <w:snapToGrid w:val="0"/>
        <w:spacing w:line="600" w:lineRule="exact"/>
        <w:ind w:firstLine="640" w:firstLineChars="200"/>
        <w:rPr>
          <w:rFonts w:ascii="Times New Roman" w:hAnsi="Times New Roman" w:eastAsia="仿宋"/>
          <w:bCs/>
          <w:sz w:val="32"/>
          <w:szCs w:val="32"/>
        </w:rPr>
      </w:pPr>
    </w:p>
    <w:p>
      <w:pPr>
        <w:widowControl/>
        <w:adjustRightInd w:val="0"/>
        <w:snapToGrid w:val="0"/>
        <w:spacing w:line="600" w:lineRule="exact"/>
        <w:ind w:firstLine="640" w:firstLineChars="200"/>
        <w:rPr>
          <w:rFonts w:ascii="Times New Roman" w:hAnsi="Times New Roman" w:eastAsia="仿宋"/>
          <w:bCs/>
          <w:sz w:val="32"/>
          <w:szCs w:val="32"/>
        </w:rPr>
      </w:pPr>
    </w:p>
    <w:p>
      <w:pPr>
        <w:widowControl/>
        <w:adjustRightInd w:val="0"/>
        <w:snapToGrid w:val="0"/>
        <w:spacing w:line="600" w:lineRule="exact"/>
        <w:ind w:firstLine="640" w:firstLineChars="200"/>
        <w:jc w:val="right"/>
        <w:rPr>
          <w:rFonts w:ascii="Times New Roman" w:hAnsi="Times New Roman" w:eastAsia="仿宋"/>
          <w:bCs/>
          <w:sz w:val="32"/>
          <w:szCs w:val="32"/>
        </w:rPr>
      </w:pPr>
      <w:r>
        <w:rPr>
          <w:rFonts w:ascii="Times New Roman" w:hAnsi="Times New Roman" w:eastAsia="仿宋"/>
          <w:bCs/>
          <w:sz w:val="32"/>
          <w:szCs w:val="32"/>
        </w:rPr>
        <w:t xml:space="preserve">                                ______股份有限公司</w:t>
      </w:r>
    </w:p>
    <w:p>
      <w:pPr>
        <w:widowControl/>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 xml:space="preserve">                                     （公章）</w:t>
      </w:r>
    </w:p>
    <w:p>
      <w:pPr>
        <w:widowControl/>
        <w:adjustRightInd w:val="0"/>
        <w:snapToGrid w:val="0"/>
        <w:spacing w:line="600" w:lineRule="exact"/>
        <w:ind w:firstLine="640" w:firstLineChars="200"/>
        <w:jc w:val="right"/>
        <w:rPr>
          <w:rFonts w:ascii="Times New Roman" w:hAnsi="Times New Roman" w:eastAsia="仿宋"/>
          <w:bCs/>
          <w:sz w:val="32"/>
          <w:szCs w:val="32"/>
        </w:rPr>
      </w:pPr>
      <w:r>
        <w:rPr>
          <w:rFonts w:ascii="Times New Roman" w:hAnsi="Times New Roman" w:eastAsia="仿宋"/>
          <w:bCs/>
          <w:sz w:val="32"/>
          <w:szCs w:val="32"/>
        </w:rPr>
        <w:t xml:space="preserve">                                  年  月  日</w:t>
      </w:r>
    </w:p>
    <w:p>
      <w:pPr>
        <w:spacing w:line="360" w:lineRule="auto"/>
        <w:rPr>
          <w:rFonts w:ascii="Times New Roman" w:hAnsi="Times New Roman"/>
          <w:sz w:val="22"/>
          <w:szCs w:val="21"/>
        </w:rPr>
      </w:pPr>
      <w:r>
        <w:rPr>
          <w:rFonts w:ascii="Times New Roman" w:hAnsi="Times New Roman" w:eastAsia="仿宋"/>
          <w:kern w:val="0"/>
          <w:sz w:val="22"/>
          <w:szCs w:val="21"/>
        </w:rPr>
        <w:t>说明：证券简称原则上应当从公司名称中选取不超过八个字符（单字节字符），且应避免与挂牌公司和上市公司重复。</w:t>
      </w:r>
      <w:r>
        <w:rPr>
          <w:rFonts w:ascii="Times New Roman" w:hAnsi="Times New Roman"/>
          <w:sz w:val="22"/>
          <w:szCs w:val="21"/>
        </w:rPr>
        <w:t xml:space="preserve"> </w:t>
      </w:r>
    </w:p>
    <w:p>
      <w:pPr>
        <w:widowControl/>
        <w:jc w:val="left"/>
        <w:rPr>
          <w:rFonts w:ascii="Times New Roman" w:hAnsi="Times New Roman"/>
          <w:sz w:val="22"/>
          <w:szCs w:val="21"/>
        </w:rPr>
      </w:pPr>
      <w:r>
        <w:rPr>
          <w:rFonts w:ascii="Times New Roman" w:hAnsi="Times New Roman"/>
          <w:sz w:val="22"/>
          <w:szCs w:val="21"/>
        </w:rPr>
        <w:br w:type="page"/>
      </w:r>
    </w:p>
    <w:p>
      <w:pPr>
        <w:outlineLvl w:val="0"/>
        <w:rPr>
          <w:rFonts w:ascii="Times New Roman" w:hAnsi="Times New Roman" w:eastAsia="黑体"/>
          <w:bCs/>
          <w:sz w:val="32"/>
          <w:szCs w:val="32"/>
        </w:rPr>
      </w:pPr>
      <w:r>
        <w:rPr>
          <w:rFonts w:ascii="Times New Roman" w:hAnsi="Times New Roman" w:eastAsia="黑体"/>
          <w:bCs/>
          <w:sz w:val="32"/>
          <w:szCs w:val="32"/>
        </w:rPr>
        <w:t>附件2</w:t>
      </w:r>
    </w:p>
    <w:p>
      <w:pPr>
        <w:spacing w:line="600" w:lineRule="exact"/>
        <w:jc w:val="center"/>
        <w:rPr>
          <w:rFonts w:ascii="Times New Roman" w:hAnsi="Times New Roman" w:eastAsia="方正大标宋简体"/>
          <w:sz w:val="44"/>
          <w:szCs w:val="32"/>
        </w:rPr>
      </w:pPr>
      <w:r>
        <w:rPr>
          <w:rFonts w:ascii="Times New Roman" w:hAnsi="Times New Roman" w:eastAsia="方正大标宋简体"/>
          <w:sz w:val="44"/>
          <w:szCs w:val="32"/>
        </w:rPr>
        <w:t>股票挂牌重大事项确认函</w:t>
      </w:r>
    </w:p>
    <w:p>
      <w:pPr>
        <w:spacing w:line="600" w:lineRule="exact"/>
        <w:jc w:val="center"/>
        <w:rPr>
          <w:rFonts w:ascii="Times New Roman" w:hAnsi="Times New Roman" w:eastAsia="方正大标宋简体"/>
          <w:sz w:val="44"/>
          <w:szCs w:val="32"/>
        </w:rPr>
      </w:pP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由我司推荐的______公司股票挂牌申请已经全国股转公司审</w:t>
      </w:r>
      <w:r>
        <w:rPr>
          <w:rFonts w:hint="eastAsia" w:ascii="Times New Roman" w:hAnsi="Times New Roman" w:eastAsia="仿宋"/>
          <w:bCs/>
          <w:sz w:val="32"/>
          <w:szCs w:val="32"/>
        </w:rPr>
        <w:t>核</w:t>
      </w:r>
      <w:r>
        <w:rPr>
          <w:rFonts w:ascii="Times New Roman" w:hAnsi="Times New Roman" w:eastAsia="仿宋"/>
          <w:bCs/>
          <w:sz w:val="32"/>
          <w:szCs w:val="32"/>
        </w:rPr>
        <w:t>同意，取得了同意函，且该公司已按规定完成了挂牌前首次信息披露和股票初始登记工作，现申请股票挂牌。</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截至该确认函提交之日，我司确认：</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1.该公司符合</w:t>
      </w:r>
      <w:r>
        <w:rPr>
          <w:rFonts w:hint="eastAsia" w:ascii="Times New Roman" w:hAnsi="Times New Roman" w:eastAsia="仿宋"/>
          <w:bCs/>
          <w:sz w:val="32"/>
          <w:szCs w:val="32"/>
        </w:rPr>
        <w:t>《全国中小企业股份转让系统股票挂牌规则》等</w:t>
      </w:r>
      <w:r>
        <w:rPr>
          <w:rFonts w:ascii="Times New Roman" w:hAnsi="Times New Roman" w:eastAsia="仿宋"/>
          <w:bCs/>
          <w:sz w:val="32"/>
          <w:szCs w:val="32"/>
        </w:rPr>
        <w:t>规定的股票挂牌条件；</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2.该公司不存在实际控制人或控股股东失联</w:t>
      </w:r>
      <w:r>
        <w:rPr>
          <w:rFonts w:hint="eastAsia" w:ascii="Times New Roman" w:hAnsi="Times New Roman" w:eastAsia="仿宋"/>
          <w:bCs/>
          <w:sz w:val="32"/>
          <w:szCs w:val="32"/>
        </w:rPr>
        <w:t>等</w:t>
      </w:r>
      <w:r>
        <w:rPr>
          <w:rFonts w:ascii="Times New Roman" w:hAnsi="Times New Roman" w:eastAsia="仿宋"/>
          <w:bCs/>
          <w:sz w:val="32"/>
          <w:szCs w:val="32"/>
        </w:rPr>
        <w:t>情形；</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3.</w:t>
      </w:r>
      <w:r>
        <w:rPr>
          <w:rFonts w:hint="eastAsia" w:ascii="Times New Roman" w:hAnsi="Times New Roman" w:eastAsia="仿宋"/>
          <w:bCs/>
          <w:sz w:val="32"/>
          <w:szCs w:val="32"/>
        </w:rPr>
        <w:t>该公司未在区域性股权市场及</w:t>
      </w:r>
      <w:r>
        <w:rPr>
          <w:rFonts w:ascii="Times New Roman" w:hAnsi="Times New Roman" w:eastAsia="仿宋"/>
          <w:bCs/>
          <w:sz w:val="32"/>
          <w:szCs w:val="32"/>
        </w:rPr>
        <w:t>其他交易市场</w:t>
      </w:r>
      <w:r>
        <w:rPr>
          <w:rFonts w:hint="eastAsia" w:ascii="Times New Roman" w:hAnsi="Times New Roman" w:eastAsia="仿宋"/>
          <w:bCs/>
          <w:sz w:val="32"/>
          <w:szCs w:val="32"/>
        </w:rPr>
        <w:t>具有股权转让或交易功能的板块挂牌；</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4.该公司不存在信访举报事项</w:t>
      </w:r>
      <w:r>
        <w:rPr>
          <w:rFonts w:hint="eastAsia" w:ascii="Times New Roman" w:hAnsi="Times New Roman" w:eastAsia="仿宋"/>
          <w:bCs/>
          <w:sz w:val="32"/>
          <w:szCs w:val="32"/>
        </w:rPr>
        <w:t>，或</w:t>
      </w:r>
      <w:r>
        <w:rPr>
          <w:rFonts w:ascii="Times New Roman" w:hAnsi="Times New Roman" w:eastAsia="仿宋"/>
          <w:bCs/>
          <w:sz w:val="32"/>
          <w:szCs w:val="32"/>
        </w:rPr>
        <w:t>信访举报事项已处理完毕</w:t>
      </w:r>
      <w:r>
        <w:rPr>
          <w:rFonts w:hint="eastAsia" w:ascii="Times New Roman" w:hAnsi="Times New Roman" w:eastAsia="仿宋"/>
          <w:bCs/>
          <w:sz w:val="32"/>
          <w:szCs w:val="32"/>
        </w:rPr>
        <w:t>并</w:t>
      </w:r>
      <w:r>
        <w:rPr>
          <w:rFonts w:ascii="Times New Roman" w:hAnsi="Times New Roman" w:eastAsia="仿宋"/>
          <w:bCs/>
          <w:sz w:val="32"/>
          <w:szCs w:val="32"/>
        </w:rPr>
        <w:t>不影响公司挂牌；</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5.该公司不存在其他应报告而未报告的涉及挂牌条件的事项。</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综上，我司现确认该公司满足办理挂牌手续的条件。</w:t>
      </w:r>
    </w:p>
    <w:p>
      <w:pPr>
        <w:widowControl/>
        <w:adjustRightInd w:val="0"/>
        <w:snapToGrid w:val="0"/>
        <w:spacing w:line="360" w:lineRule="auto"/>
        <w:ind w:firstLine="640" w:firstLineChars="200"/>
        <w:rPr>
          <w:rFonts w:ascii="Times New Roman" w:hAnsi="Times New Roman" w:eastAsia="仿宋"/>
          <w:bCs/>
          <w:sz w:val="32"/>
          <w:szCs w:val="32"/>
        </w:rPr>
      </w:pPr>
      <w:r>
        <w:rPr>
          <w:rFonts w:ascii="Times New Roman" w:hAnsi="Times New Roman" w:eastAsia="仿宋"/>
          <w:bCs/>
          <w:sz w:val="32"/>
          <w:szCs w:val="32"/>
        </w:rPr>
        <w:t xml:space="preserve">                                 项目负责人签名</w:t>
      </w:r>
    </w:p>
    <w:p>
      <w:pPr>
        <w:ind w:firstLine="5920" w:firstLineChars="1850"/>
        <w:rPr>
          <w:rFonts w:ascii="Times New Roman" w:hAnsi="Times New Roman" w:eastAsia="楷体"/>
          <w:kern w:val="0"/>
          <w:sz w:val="32"/>
          <w:szCs w:val="32"/>
        </w:rPr>
      </w:pPr>
      <w:r>
        <w:rPr>
          <w:rFonts w:ascii="Times New Roman" w:hAnsi="Times New Roman" w:eastAsia="方正仿宋简体"/>
          <w:sz w:val="32"/>
          <w:szCs w:val="32"/>
        </w:rPr>
        <w:t>主办券商公章</w:t>
      </w:r>
    </w:p>
    <w:p>
      <w:pPr>
        <w:ind w:left="5095" w:leftChars="2426"/>
        <w:rPr>
          <w:rFonts w:ascii="Times New Roman" w:hAnsi="Times New Roman" w:eastAsia="方正仿宋简体"/>
          <w:sz w:val="32"/>
          <w:szCs w:val="32"/>
        </w:rPr>
      </w:pPr>
      <w:r>
        <w:rPr>
          <w:rFonts w:ascii="Times New Roman" w:hAnsi="Times New Roman" w:eastAsia="方正仿宋简体"/>
          <w:sz w:val="32"/>
          <w:szCs w:val="32"/>
        </w:rPr>
        <w:t>年   月</w:t>
      </w:r>
      <w:r>
        <w:rPr>
          <w:rFonts w:hint="eastAsia" w:ascii="Times New Roman" w:hAnsi="Times New Roman" w:eastAsia="方正仿宋简体"/>
          <w:sz w:val="32"/>
          <w:szCs w:val="32"/>
        </w:rPr>
        <w:t xml:space="preserve"> </w:t>
      </w:r>
      <w:r>
        <w:rPr>
          <w:rFonts w:ascii="Times New Roman" w:hAnsi="Times New Roman" w:eastAsia="方正仿宋简体"/>
          <w:sz w:val="32"/>
          <w:szCs w:val="32"/>
        </w:rPr>
        <w:t xml:space="preserve">  日（提交日期）</w:t>
      </w:r>
    </w:p>
    <w:p>
      <w:pPr>
        <w:widowControl/>
        <w:jc w:val="left"/>
        <w:rPr>
          <w:rFonts w:ascii="Times New Roman" w:hAnsi="Times New Roman" w:eastAsia="方正仿宋简体"/>
          <w:sz w:val="32"/>
          <w:szCs w:val="32"/>
        </w:rPr>
      </w:pPr>
      <w:r>
        <w:rPr>
          <w:rFonts w:ascii="Times New Roman" w:hAnsi="Times New Roman" w:eastAsia="方正仿宋简体"/>
          <w:sz w:val="32"/>
          <w:szCs w:val="32"/>
        </w:rPr>
        <w:br w:type="page"/>
      </w:r>
    </w:p>
    <w:p>
      <w:pPr>
        <w:spacing w:line="600" w:lineRule="exact"/>
        <w:outlineLvl w:val="0"/>
        <w:rPr>
          <w:rFonts w:ascii="Times New Roman" w:hAnsi="Times New Roman" w:eastAsia="黑体"/>
          <w:bCs/>
          <w:sz w:val="32"/>
          <w:szCs w:val="32"/>
        </w:rPr>
      </w:pPr>
      <w:r>
        <w:rPr>
          <w:rFonts w:ascii="Times New Roman" w:hAnsi="Times New Roman" w:eastAsia="黑体"/>
          <w:bCs/>
          <w:sz w:val="32"/>
          <w:szCs w:val="32"/>
        </w:rPr>
        <w:t>附件3</w:t>
      </w:r>
    </w:p>
    <w:p>
      <w:pPr>
        <w:spacing w:line="600" w:lineRule="exact"/>
        <w:ind w:right="58" w:firstLine="480" w:firstLineChars="200"/>
        <w:rPr>
          <w:rFonts w:ascii="Times New Roman" w:hAnsi="Times New Roman"/>
          <w:sz w:val="24"/>
        </w:rPr>
      </w:pPr>
    </w:p>
    <w:p>
      <w:pPr>
        <w:spacing w:line="600" w:lineRule="exact"/>
        <w:jc w:val="center"/>
        <w:rPr>
          <w:rFonts w:ascii="Times New Roman" w:hAnsi="Times New Roman" w:eastAsia="方正大标宋简体"/>
          <w:sz w:val="44"/>
          <w:szCs w:val="32"/>
        </w:rPr>
      </w:pPr>
      <w:r>
        <w:rPr>
          <w:rFonts w:ascii="Times New Roman" w:hAnsi="Times New Roman" w:eastAsia="方正大标宋简体"/>
          <w:sz w:val="44"/>
          <w:szCs w:val="32"/>
        </w:rPr>
        <w:t>________股份有限公司</w:t>
      </w:r>
    </w:p>
    <w:p>
      <w:pPr>
        <w:spacing w:line="600" w:lineRule="exact"/>
        <w:jc w:val="center"/>
        <w:rPr>
          <w:rFonts w:ascii="Times New Roman" w:hAnsi="Times New Roman" w:eastAsia="方正大标宋简体"/>
          <w:sz w:val="44"/>
          <w:szCs w:val="32"/>
        </w:rPr>
      </w:pPr>
      <w:r>
        <w:rPr>
          <w:rFonts w:ascii="Times New Roman" w:hAnsi="Times New Roman" w:eastAsia="方正大标宋简体"/>
          <w:sz w:val="44"/>
          <w:szCs w:val="32"/>
        </w:rPr>
        <w:t>关于股票挂牌的提示性公告</w:t>
      </w:r>
    </w:p>
    <w:p>
      <w:pPr>
        <w:spacing w:line="600" w:lineRule="exact"/>
        <w:ind w:firstLine="560" w:firstLineChars="200"/>
        <w:rPr>
          <w:rFonts w:ascii="Times New Roman" w:hAnsi="Times New Roman" w:eastAsia="仿宋"/>
          <w:sz w:val="28"/>
          <w:szCs w:val="28"/>
        </w:rPr>
      </w:pPr>
    </w:p>
    <w:p>
      <w:pPr>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本公司股票挂牌公开转让申请已经全国股转公司审</w:t>
      </w:r>
      <w:r>
        <w:rPr>
          <w:rFonts w:hint="eastAsia" w:ascii="Times New Roman" w:hAnsi="Times New Roman" w:eastAsia="仿宋"/>
          <w:bCs/>
          <w:sz w:val="32"/>
          <w:szCs w:val="32"/>
        </w:rPr>
        <w:t>核</w:t>
      </w:r>
      <w:r>
        <w:rPr>
          <w:rFonts w:ascii="Times New Roman" w:hAnsi="Times New Roman" w:eastAsia="仿宋"/>
          <w:bCs/>
          <w:sz w:val="32"/>
          <w:szCs w:val="32"/>
        </w:rPr>
        <w:t>同意。本公司股票将于______年______月______日起在全国股转系统挂牌公开转让。</w:t>
      </w:r>
    </w:p>
    <w:p>
      <w:pPr>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证券简称：______，证券代码：______。</w:t>
      </w:r>
      <w:r>
        <w:rPr>
          <w:rFonts w:ascii="Times New Roman" w:hAnsi="Times New Roman" w:eastAsia="仿宋"/>
          <w:bCs/>
          <w:sz w:val="32"/>
          <w:szCs w:val="32"/>
        </w:rPr>
        <w:tab/>
      </w:r>
    </w:p>
    <w:p>
      <w:pPr>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交易方式：______。（如为做市交易，应披露做市商信息）</w:t>
      </w:r>
    </w:p>
    <w:p>
      <w:pPr>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做市商1：</w:t>
      </w:r>
      <w:r>
        <w:rPr>
          <w:rFonts w:ascii="Times New Roman" w:hAnsi="Times New Roman" w:eastAsia="仿宋"/>
          <w:bCs/>
          <w:sz w:val="32"/>
          <w:szCs w:val="32"/>
          <w:u w:val="single"/>
        </w:rPr>
        <w:t xml:space="preserve">      </w:t>
      </w:r>
      <w:r>
        <w:rPr>
          <w:rFonts w:ascii="Times New Roman" w:hAnsi="Times New Roman" w:eastAsia="仿宋"/>
          <w:bCs/>
          <w:sz w:val="32"/>
          <w:szCs w:val="32"/>
        </w:rPr>
        <w:t>（全称），推荐本公司股票挂牌的主办券商/推荐本公司股票挂牌的主办券商</w:t>
      </w:r>
      <w:r>
        <w:rPr>
          <w:rFonts w:ascii="Times New Roman" w:hAnsi="Times New Roman" w:eastAsia="仿宋"/>
          <w:bCs/>
          <w:sz w:val="32"/>
          <w:szCs w:val="32"/>
          <w:u w:val="single"/>
        </w:rPr>
        <w:t xml:space="preserve">     </w:t>
      </w:r>
      <w:r>
        <w:rPr>
          <w:rFonts w:ascii="Times New Roman" w:hAnsi="Times New Roman" w:eastAsia="仿宋"/>
          <w:bCs/>
          <w:sz w:val="32"/>
          <w:szCs w:val="32"/>
        </w:rPr>
        <w:t>证券公司的母（子）公司。</w:t>
      </w:r>
    </w:p>
    <w:p>
      <w:pPr>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做市商2：</w:t>
      </w:r>
      <w:r>
        <w:rPr>
          <w:rFonts w:ascii="Times New Roman" w:hAnsi="Times New Roman" w:eastAsia="仿宋"/>
          <w:bCs/>
          <w:sz w:val="32"/>
          <w:szCs w:val="32"/>
          <w:u w:val="single"/>
        </w:rPr>
        <w:t xml:space="preserve">      </w:t>
      </w:r>
      <w:r>
        <w:rPr>
          <w:rFonts w:ascii="Times New Roman" w:hAnsi="Times New Roman" w:eastAsia="仿宋"/>
          <w:bCs/>
          <w:sz w:val="32"/>
          <w:szCs w:val="32"/>
        </w:rPr>
        <w:t>（全称）。</w:t>
      </w:r>
    </w:p>
    <w:p>
      <w:pPr>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所属层级：</w:t>
      </w:r>
      <w:r>
        <w:rPr>
          <w:rFonts w:ascii="Times New Roman" w:hAnsi="Times New Roman" w:eastAsia="仿宋"/>
          <w:bCs/>
          <w:sz w:val="32"/>
          <w:szCs w:val="32"/>
          <w:u w:val="single"/>
        </w:rPr>
        <w:t xml:space="preserve">      </w:t>
      </w:r>
      <w:r>
        <w:rPr>
          <w:rFonts w:ascii="Times New Roman" w:hAnsi="Times New Roman" w:eastAsia="仿宋"/>
          <w:bCs/>
          <w:sz w:val="32"/>
          <w:szCs w:val="32"/>
        </w:rPr>
        <w:t>。</w:t>
      </w:r>
    </w:p>
    <w:p>
      <w:pPr>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（如申请挂牌同时定向发行的，应披露发行相关信息）本公司挂牌同时发行</w:t>
      </w:r>
      <w:r>
        <w:rPr>
          <w:rFonts w:hint="eastAsia" w:ascii="Times New Roman" w:hAnsi="Times New Roman" w:eastAsia="仿宋"/>
          <w:bCs/>
          <w:sz w:val="32"/>
          <w:szCs w:val="32"/>
        </w:rPr>
        <w:t>股票</w:t>
      </w:r>
      <w:r>
        <w:rPr>
          <w:rFonts w:ascii="Times New Roman" w:hAnsi="Times New Roman" w:eastAsia="仿宋"/>
          <w:bCs/>
          <w:sz w:val="32"/>
          <w:szCs w:val="32"/>
        </w:rPr>
        <w:t>总数为</w:t>
      </w:r>
      <w:r>
        <w:rPr>
          <w:rFonts w:ascii="Times New Roman" w:hAnsi="Times New Roman" w:eastAsia="仿宋"/>
          <w:bCs/>
          <w:sz w:val="32"/>
          <w:szCs w:val="32"/>
          <w:u w:val="single"/>
        </w:rPr>
        <w:t xml:space="preserve">     </w:t>
      </w:r>
      <w:r>
        <w:rPr>
          <w:rFonts w:ascii="Times New Roman" w:hAnsi="Times New Roman" w:eastAsia="仿宋"/>
          <w:bCs/>
          <w:sz w:val="32"/>
          <w:szCs w:val="32"/>
        </w:rPr>
        <w:t>股，其中限售条件</w:t>
      </w:r>
      <w:r>
        <w:rPr>
          <w:rFonts w:ascii="Times New Roman" w:hAnsi="Times New Roman" w:eastAsia="仿宋"/>
          <w:bCs/>
          <w:sz w:val="32"/>
          <w:szCs w:val="32"/>
          <w:u w:val="single"/>
        </w:rPr>
        <w:t xml:space="preserve">     </w:t>
      </w:r>
      <w:r>
        <w:rPr>
          <w:rFonts w:ascii="Times New Roman" w:hAnsi="Times New Roman" w:eastAsia="仿宋"/>
          <w:bCs/>
          <w:sz w:val="32"/>
          <w:szCs w:val="32"/>
        </w:rPr>
        <w:t>股，无限售条件</w:t>
      </w:r>
      <w:r>
        <w:rPr>
          <w:rFonts w:ascii="Times New Roman" w:hAnsi="Times New Roman" w:eastAsia="仿宋"/>
          <w:bCs/>
          <w:sz w:val="32"/>
          <w:szCs w:val="32"/>
          <w:u w:val="single"/>
        </w:rPr>
        <w:t xml:space="preserve">     </w:t>
      </w:r>
      <w:r>
        <w:rPr>
          <w:rFonts w:ascii="Times New Roman" w:hAnsi="Times New Roman" w:eastAsia="仿宋"/>
          <w:bCs/>
          <w:sz w:val="32"/>
          <w:szCs w:val="32"/>
        </w:rPr>
        <w:t>股。无限售条件股份将于</w:t>
      </w:r>
      <w:r>
        <w:rPr>
          <w:rFonts w:ascii="Times New Roman" w:hAnsi="Times New Roman" w:eastAsia="仿宋"/>
          <w:bCs/>
          <w:sz w:val="32"/>
          <w:szCs w:val="32"/>
          <w:u w:val="single"/>
        </w:rPr>
        <w:t xml:space="preserve">     </w:t>
      </w:r>
      <w:r>
        <w:rPr>
          <w:rFonts w:ascii="Times New Roman" w:hAnsi="Times New Roman" w:eastAsia="仿宋"/>
          <w:bCs/>
          <w:sz w:val="32"/>
          <w:szCs w:val="32"/>
        </w:rPr>
        <w:t>年</w:t>
      </w:r>
      <w:r>
        <w:rPr>
          <w:rFonts w:ascii="Times New Roman" w:hAnsi="Times New Roman" w:eastAsia="仿宋"/>
          <w:bCs/>
          <w:sz w:val="32"/>
          <w:szCs w:val="32"/>
          <w:u w:val="single"/>
        </w:rPr>
        <w:t xml:space="preserve">     </w:t>
      </w:r>
      <w:r>
        <w:rPr>
          <w:rFonts w:ascii="Times New Roman" w:hAnsi="Times New Roman" w:eastAsia="仿宋"/>
          <w:bCs/>
          <w:sz w:val="32"/>
          <w:szCs w:val="32"/>
        </w:rPr>
        <w:t>月</w:t>
      </w:r>
      <w:r>
        <w:rPr>
          <w:rFonts w:ascii="Times New Roman" w:hAnsi="Times New Roman" w:eastAsia="仿宋"/>
          <w:bCs/>
          <w:sz w:val="32"/>
          <w:szCs w:val="32"/>
          <w:u w:val="single"/>
        </w:rPr>
        <w:t xml:space="preserve">     </w:t>
      </w:r>
      <w:r>
        <w:rPr>
          <w:rFonts w:ascii="Times New Roman" w:hAnsi="Times New Roman" w:eastAsia="仿宋"/>
          <w:bCs/>
          <w:sz w:val="32"/>
          <w:szCs w:val="32"/>
        </w:rPr>
        <w:t>日在全国股转系统挂牌公开转让</w:t>
      </w:r>
      <w:r>
        <w:rPr>
          <w:rFonts w:hint="eastAsia" w:ascii="Times New Roman" w:hAnsi="Times New Roman" w:eastAsia="仿宋"/>
          <w:bCs/>
          <w:sz w:val="32"/>
          <w:szCs w:val="32"/>
        </w:rPr>
        <w:t>。/本公司挂牌同时发行可转债总数为</w:t>
      </w:r>
      <w:r>
        <w:rPr>
          <w:rFonts w:hint="eastAsia" w:ascii="Times New Roman" w:hAnsi="Times New Roman" w:eastAsia="仿宋"/>
          <w:bCs/>
          <w:sz w:val="32"/>
          <w:szCs w:val="32"/>
          <w:u w:val="single"/>
        </w:rPr>
        <w:t xml:space="preserve">     </w:t>
      </w:r>
      <w:r>
        <w:rPr>
          <w:rFonts w:hint="eastAsia" w:ascii="Times New Roman" w:hAnsi="Times New Roman" w:eastAsia="仿宋"/>
          <w:bCs/>
          <w:sz w:val="32"/>
          <w:szCs w:val="32"/>
        </w:rPr>
        <w:t>张，其中限售条件</w:t>
      </w:r>
      <w:r>
        <w:rPr>
          <w:rFonts w:hint="eastAsia" w:ascii="Times New Roman" w:hAnsi="Times New Roman" w:eastAsia="仿宋"/>
          <w:bCs/>
          <w:sz w:val="32"/>
          <w:szCs w:val="32"/>
          <w:u w:val="single"/>
        </w:rPr>
        <w:t xml:space="preserve">     </w:t>
      </w:r>
      <w:r>
        <w:rPr>
          <w:rFonts w:hint="eastAsia" w:ascii="Times New Roman" w:hAnsi="Times New Roman" w:eastAsia="仿宋"/>
          <w:bCs/>
          <w:sz w:val="32"/>
          <w:szCs w:val="32"/>
        </w:rPr>
        <w:t>张，无限售条件</w:t>
      </w:r>
      <w:r>
        <w:rPr>
          <w:rFonts w:hint="eastAsia" w:ascii="Times New Roman" w:hAnsi="Times New Roman" w:eastAsia="仿宋"/>
          <w:bCs/>
          <w:sz w:val="32"/>
          <w:szCs w:val="32"/>
          <w:u w:val="single"/>
        </w:rPr>
        <w:t xml:space="preserve">     </w:t>
      </w:r>
      <w:r>
        <w:rPr>
          <w:rFonts w:hint="eastAsia" w:ascii="Times New Roman" w:hAnsi="Times New Roman" w:eastAsia="仿宋"/>
          <w:bCs/>
          <w:sz w:val="32"/>
          <w:szCs w:val="32"/>
        </w:rPr>
        <w:t>张。无限售条件可转债将于</w:t>
      </w:r>
      <w:r>
        <w:rPr>
          <w:rFonts w:hint="eastAsia" w:ascii="Times New Roman" w:hAnsi="Times New Roman" w:eastAsia="仿宋"/>
          <w:bCs/>
          <w:sz w:val="32"/>
          <w:szCs w:val="32"/>
          <w:u w:val="single"/>
        </w:rPr>
        <w:t xml:space="preserve">     </w:t>
      </w:r>
      <w:r>
        <w:rPr>
          <w:rFonts w:hint="eastAsia" w:ascii="Times New Roman" w:hAnsi="Times New Roman" w:eastAsia="仿宋"/>
          <w:bCs/>
          <w:sz w:val="32"/>
          <w:szCs w:val="32"/>
        </w:rPr>
        <w:t>年</w:t>
      </w:r>
      <w:r>
        <w:rPr>
          <w:rFonts w:hint="eastAsia" w:ascii="Times New Roman" w:hAnsi="Times New Roman" w:eastAsia="仿宋"/>
          <w:bCs/>
          <w:sz w:val="32"/>
          <w:szCs w:val="32"/>
          <w:u w:val="single"/>
        </w:rPr>
        <w:t xml:space="preserve">     </w:t>
      </w:r>
      <w:r>
        <w:rPr>
          <w:rFonts w:hint="eastAsia" w:ascii="Times New Roman" w:hAnsi="Times New Roman" w:eastAsia="仿宋"/>
          <w:bCs/>
          <w:sz w:val="32"/>
          <w:szCs w:val="32"/>
        </w:rPr>
        <w:t>月</w:t>
      </w:r>
      <w:r>
        <w:rPr>
          <w:rFonts w:hint="eastAsia" w:ascii="Times New Roman" w:hAnsi="Times New Roman" w:eastAsia="仿宋"/>
          <w:bCs/>
          <w:sz w:val="32"/>
          <w:szCs w:val="32"/>
          <w:u w:val="single"/>
        </w:rPr>
        <w:t xml:space="preserve">     </w:t>
      </w:r>
      <w:r>
        <w:rPr>
          <w:rFonts w:hint="eastAsia" w:ascii="Times New Roman" w:hAnsi="Times New Roman" w:eastAsia="仿宋"/>
          <w:bCs/>
          <w:sz w:val="32"/>
          <w:szCs w:val="32"/>
        </w:rPr>
        <w:t>日在全国股转系统挂牌公开转让。</w:t>
      </w:r>
    </w:p>
    <w:p>
      <w:pPr>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公开转让说明书已于</w:t>
      </w:r>
      <w:r>
        <w:rPr>
          <w:rFonts w:ascii="Times New Roman" w:hAnsi="Times New Roman" w:eastAsia="仿宋"/>
          <w:bCs/>
          <w:sz w:val="32"/>
          <w:szCs w:val="32"/>
          <w:u w:val="single"/>
        </w:rPr>
        <w:t xml:space="preserve">     </w:t>
      </w:r>
      <w:r>
        <w:rPr>
          <w:rFonts w:ascii="Times New Roman" w:hAnsi="Times New Roman" w:eastAsia="仿宋"/>
          <w:bCs/>
          <w:sz w:val="32"/>
          <w:szCs w:val="32"/>
        </w:rPr>
        <w:t>年</w:t>
      </w:r>
      <w:r>
        <w:rPr>
          <w:rFonts w:ascii="Times New Roman" w:hAnsi="Times New Roman" w:eastAsia="仿宋"/>
          <w:bCs/>
          <w:sz w:val="32"/>
          <w:szCs w:val="32"/>
          <w:u w:val="single"/>
        </w:rPr>
        <w:t xml:space="preserve">     </w:t>
      </w:r>
      <w:r>
        <w:rPr>
          <w:rFonts w:ascii="Times New Roman" w:hAnsi="Times New Roman" w:eastAsia="仿宋"/>
          <w:bCs/>
          <w:sz w:val="32"/>
          <w:szCs w:val="32"/>
        </w:rPr>
        <w:t>月</w:t>
      </w:r>
      <w:r>
        <w:rPr>
          <w:rFonts w:ascii="Times New Roman" w:hAnsi="Times New Roman" w:eastAsia="仿宋"/>
          <w:bCs/>
          <w:sz w:val="32"/>
          <w:szCs w:val="32"/>
          <w:u w:val="single"/>
        </w:rPr>
        <w:t xml:space="preserve">     </w:t>
      </w:r>
      <w:r>
        <w:rPr>
          <w:rFonts w:ascii="Times New Roman" w:hAnsi="Times New Roman" w:eastAsia="仿宋"/>
          <w:bCs/>
          <w:sz w:val="32"/>
          <w:szCs w:val="32"/>
        </w:rPr>
        <w:t>日、发行情况报告书已于</w:t>
      </w:r>
      <w:r>
        <w:rPr>
          <w:rFonts w:ascii="Times New Roman" w:hAnsi="Times New Roman" w:eastAsia="仿宋"/>
          <w:bCs/>
          <w:sz w:val="32"/>
          <w:szCs w:val="32"/>
          <w:u w:val="single"/>
        </w:rPr>
        <w:t xml:space="preserve">     </w:t>
      </w:r>
      <w:r>
        <w:rPr>
          <w:rFonts w:ascii="Times New Roman" w:hAnsi="Times New Roman" w:eastAsia="仿宋"/>
          <w:bCs/>
          <w:sz w:val="32"/>
          <w:szCs w:val="32"/>
        </w:rPr>
        <w:t>年</w:t>
      </w:r>
      <w:r>
        <w:rPr>
          <w:rFonts w:ascii="Times New Roman" w:hAnsi="Times New Roman" w:eastAsia="仿宋"/>
          <w:bCs/>
          <w:sz w:val="32"/>
          <w:szCs w:val="32"/>
          <w:u w:val="single"/>
        </w:rPr>
        <w:t xml:space="preserve">     </w:t>
      </w:r>
      <w:r>
        <w:rPr>
          <w:rFonts w:ascii="Times New Roman" w:hAnsi="Times New Roman" w:eastAsia="仿宋"/>
          <w:bCs/>
          <w:sz w:val="32"/>
          <w:szCs w:val="32"/>
        </w:rPr>
        <w:t>月</w:t>
      </w:r>
      <w:r>
        <w:rPr>
          <w:rFonts w:ascii="Times New Roman" w:hAnsi="Times New Roman" w:eastAsia="仿宋"/>
          <w:bCs/>
          <w:sz w:val="32"/>
          <w:szCs w:val="32"/>
          <w:u w:val="single"/>
        </w:rPr>
        <w:t xml:space="preserve">     </w:t>
      </w:r>
      <w:r>
        <w:rPr>
          <w:rFonts w:ascii="Times New Roman" w:hAnsi="Times New Roman" w:eastAsia="仿宋"/>
          <w:bCs/>
          <w:sz w:val="32"/>
          <w:szCs w:val="32"/>
        </w:rPr>
        <w:t>日在www.neeq.com.cn或www.neeq.cc上进行披露，供投资者查阅。</w:t>
      </w:r>
    </w:p>
    <w:p>
      <w:pPr>
        <w:adjustRightInd w:val="0"/>
        <w:snapToGrid w:val="0"/>
        <w:spacing w:line="600" w:lineRule="exact"/>
        <w:ind w:firstLine="640" w:firstLineChars="200"/>
        <w:rPr>
          <w:rFonts w:ascii="Times New Roman" w:hAnsi="Times New Roman" w:eastAsia="仿宋"/>
          <w:bCs/>
          <w:sz w:val="32"/>
          <w:szCs w:val="32"/>
        </w:rPr>
      </w:pPr>
    </w:p>
    <w:p>
      <w:pPr>
        <w:adjustRightInd w:val="0"/>
        <w:snapToGrid w:val="0"/>
        <w:spacing w:line="600" w:lineRule="exact"/>
        <w:ind w:firstLine="640" w:firstLineChars="200"/>
        <w:rPr>
          <w:rFonts w:ascii="Times New Roman" w:hAnsi="Times New Roman" w:eastAsia="仿宋"/>
          <w:bCs/>
          <w:sz w:val="32"/>
          <w:szCs w:val="32"/>
        </w:rPr>
      </w:pPr>
    </w:p>
    <w:p>
      <w:pPr>
        <w:adjustRightInd w:val="0"/>
        <w:snapToGrid w:val="0"/>
        <w:spacing w:line="600" w:lineRule="exact"/>
        <w:ind w:firstLine="640" w:firstLineChars="200"/>
        <w:jc w:val="right"/>
        <w:rPr>
          <w:rFonts w:ascii="Times New Roman" w:hAnsi="Times New Roman" w:eastAsia="仿宋"/>
          <w:bCs/>
          <w:sz w:val="32"/>
          <w:szCs w:val="32"/>
        </w:rPr>
      </w:pPr>
      <w:r>
        <w:rPr>
          <w:rFonts w:ascii="Times New Roman" w:hAnsi="Times New Roman" w:eastAsia="仿宋"/>
          <w:bCs/>
          <w:sz w:val="32"/>
          <w:szCs w:val="32"/>
        </w:rPr>
        <w:t xml:space="preserve">                           </w:t>
      </w:r>
      <w:r>
        <w:rPr>
          <w:rFonts w:ascii="Times New Roman" w:hAnsi="Times New Roman" w:eastAsia="仿宋"/>
          <w:bCs/>
          <w:sz w:val="32"/>
          <w:szCs w:val="32"/>
          <w:u w:val="single"/>
        </w:rPr>
        <w:t xml:space="preserve">          </w:t>
      </w:r>
      <w:r>
        <w:rPr>
          <w:rFonts w:ascii="Times New Roman" w:hAnsi="Times New Roman" w:eastAsia="仿宋"/>
          <w:bCs/>
          <w:sz w:val="32"/>
          <w:szCs w:val="32"/>
        </w:rPr>
        <w:t>股份有限公司</w:t>
      </w:r>
    </w:p>
    <w:p>
      <w:pPr>
        <w:adjustRightInd w:val="0"/>
        <w:snapToGrid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 xml:space="preserve">                                      （公章）</w:t>
      </w:r>
    </w:p>
    <w:p>
      <w:pPr>
        <w:adjustRightInd w:val="0"/>
        <w:snapToGrid w:val="0"/>
        <w:spacing w:line="600" w:lineRule="exact"/>
        <w:ind w:firstLine="640" w:firstLineChars="200"/>
        <w:jc w:val="right"/>
        <w:rPr>
          <w:rFonts w:ascii="Times New Roman" w:hAnsi="Times New Roman" w:eastAsia="仿宋"/>
          <w:bCs/>
          <w:sz w:val="32"/>
          <w:szCs w:val="32"/>
        </w:rPr>
      </w:pPr>
      <w:r>
        <w:rPr>
          <w:rFonts w:ascii="Times New Roman" w:hAnsi="Times New Roman" w:eastAsia="仿宋"/>
          <w:bCs/>
          <w:sz w:val="32"/>
          <w:szCs w:val="32"/>
        </w:rPr>
        <w:t xml:space="preserve">                                        年  月  日</w:t>
      </w:r>
    </w:p>
    <w:p>
      <w:pPr>
        <w:widowControl/>
        <w:jc w:val="left"/>
        <w:rPr>
          <w:rFonts w:ascii="Times New Roman" w:hAnsi="Times New Roman" w:eastAsia="仿宋"/>
          <w:bCs/>
          <w:sz w:val="32"/>
          <w:szCs w:val="32"/>
        </w:rPr>
      </w:pPr>
      <w:r>
        <w:rPr>
          <w:rFonts w:ascii="Times New Roman" w:hAnsi="Times New Roman" w:eastAsia="仿宋"/>
          <w:bCs/>
          <w:sz w:val="32"/>
          <w:szCs w:val="32"/>
        </w:rPr>
        <w:br w:type="page"/>
      </w:r>
    </w:p>
    <w:p>
      <w:pPr>
        <w:spacing w:line="600" w:lineRule="exact"/>
        <w:outlineLvl w:val="0"/>
        <w:rPr>
          <w:rFonts w:ascii="Times New Roman" w:hAnsi="Times New Roman" w:eastAsia="黑体"/>
          <w:bCs/>
          <w:sz w:val="32"/>
          <w:szCs w:val="32"/>
        </w:rPr>
      </w:pPr>
      <w:r>
        <w:rPr>
          <w:rFonts w:ascii="Times New Roman" w:hAnsi="Times New Roman" w:eastAsia="黑体"/>
          <w:bCs/>
          <w:sz w:val="32"/>
          <w:szCs w:val="32"/>
        </w:rPr>
        <w:t>附件4</w:t>
      </w:r>
    </w:p>
    <w:p>
      <w:pPr>
        <w:jc w:val="center"/>
        <w:rPr>
          <w:rFonts w:ascii="Times New Roman" w:hAnsi="Times New Roman" w:eastAsia="华文中宋"/>
          <w:sz w:val="36"/>
          <w:szCs w:val="36"/>
        </w:rPr>
      </w:pPr>
    </w:p>
    <w:p>
      <w:pPr>
        <w:spacing w:line="600" w:lineRule="exact"/>
        <w:jc w:val="center"/>
        <w:rPr>
          <w:rFonts w:ascii="Times New Roman" w:hAnsi="Times New Roman" w:eastAsia="方正大标宋简体"/>
          <w:sz w:val="44"/>
          <w:szCs w:val="32"/>
        </w:rPr>
      </w:pPr>
      <w:r>
        <w:rPr>
          <w:rFonts w:ascii="Times New Roman" w:hAnsi="Times New Roman" w:eastAsia="方正大标宋简体"/>
          <w:sz w:val="44"/>
          <w:szCs w:val="32"/>
        </w:rPr>
        <w:t xml:space="preserve">______股份有限公司 </w:t>
      </w:r>
    </w:p>
    <w:p>
      <w:pPr>
        <w:spacing w:line="600" w:lineRule="exact"/>
        <w:jc w:val="center"/>
        <w:rPr>
          <w:rFonts w:ascii="Times New Roman" w:hAnsi="Times New Roman" w:eastAsia="方正大标宋简体"/>
          <w:sz w:val="44"/>
          <w:szCs w:val="32"/>
        </w:rPr>
      </w:pPr>
      <w:r>
        <w:rPr>
          <w:rFonts w:ascii="Times New Roman" w:hAnsi="Times New Roman" w:eastAsia="方正大标宋简体"/>
          <w:sz w:val="44"/>
          <w:szCs w:val="32"/>
        </w:rPr>
        <w:t xml:space="preserve">关于完成工商变更登记手续的公告 </w:t>
      </w:r>
    </w:p>
    <w:p>
      <w:pPr>
        <w:spacing w:line="600" w:lineRule="exact"/>
        <w:jc w:val="center"/>
        <w:rPr>
          <w:rFonts w:ascii="Times New Roman" w:hAnsi="Times New Roman" w:eastAsia="方正大标宋简体"/>
          <w:sz w:val="44"/>
          <w:szCs w:val="32"/>
        </w:rPr>
      </w:pPr>
      <w:r>
        <w:rPr>
          <w:rFonts w:ascii="Times New Roman" w:hAnsi="Times New Roman" w:eastAsia="方正大标宋简体"/>
          <w:sz w:val="44"/>
          <w:szCs w:val="32"/>
        </w:rPr>
        <w:t xml:space="preserve"> </w:t>
      </w:r>
    </w:p>
    <w:p>
      <w:pPr>
        <w:widowControl/>
        <w:adjustRightInd w:val="0"/>
        <w:snapToGrid w:val="0"/>
        <w:spacing w:line="560" w:lineRule="exact"/>
        <w:ind w:left="105" w:leftChars="50" w:firstLine="480" w:firstLineChars="150"/>
        <w:rPr>
          <w:rFonts w:ascii="Times New Roman" w:hAnsi="Times New Roman" w:eastAsia="仿宋"/>
          <w:bCs/>
          <w:sz w:val="32"/>
          <w:szCs w:val="32"/>
        </w:rPr>
      </w:pPr>
      <w:r>
        <w:rPr>
          <w:rFonts w:ascii="Times New Roman" w:hAnsi="Times New Roman" w:eastAsia="仿宋"/>
          <w:bCs/>
          <w:sz w:val="32"/>
          <w:szCs w:val="32"/>
        </w:rPr>
        <w:t>根据</w:t>
      </w:r>
      <w:r>
        <w:rPr>
          <w:rFonts w:ascii="Times New Roman" w:hAnsi="Times New Roman" w:eastAsia="仿宋"/>
          <w:bCs/>
          <w:sz w:val="32"/>
          <w:szCs w:val="32"/>
          <w:u w:val="single"/>
        </w:rPr>
        <w:t xml:space="preserve">        </w:t>
      </w:r>
      <w:r>
        <w:rPr>
          <w:rFonts w:ascii="Times New Roman" w:hAnsi="Times New Roman" w:eastAsia="仿宋"/>
          <w:bCs/>
          <w:sz w:val="32"/>
          <w:szCs w:val="32"/>
        </w:rPr>
        <w:t>股份有限公司（以下简称“公司”）</w:t>
      </w:r>
      <w:r>
        <w:rPr>
          <w:rFonts w:ascii="Times New Roman" w:hAnsi="Times New Roman" w:eastAsia="仿宋"/>
          <w:bCs/>
          <w:sz w:val="32"/>
          <w:szCs w:val="32"/>
          <w:u w:val="single"/>
        </w:rPr>
        <w:t xml:space="preserve">      </w:t>
      </w:r>
      <w:r>
        <w:rPr>
          <w:rFonts w:ascii="Times New Roman" w:hAnsi="Times New Roman" w:eastAsia="仿宋"/>
          <w:bCs/>
          <w:sz w:val="32"/>
          <w:szCs w:val="32"/>
        </w:rPr>
        <w:t>年第</w:t>
      </w:r>
      <w:r>
        <w:rPr>
          <w:rFonts w:ascii="Times New Roman" w:hAnsi="Times New Roman" w:eastAsia="仿宋"/>
          <w:bCs/>
          <w:sz w:val="32"/>
          <w:szCs w:val="32"/>
          <w:u w:val="single"/>
        </w:rPr>
        <w:t xml:space="preserve">     </w:t>
      </w:r>
      <w:r>
        <w:rPr>
          <w:rFonts w:ascii="Times New Roman" w:hAnsi="Times New Roman" w:eastAsia="仿宋"/>
          <w:bCs/>
          <w:sz w:val="32"/>
          <w:szCs w:val="32"/>
        </w:rPr>
        <w:t>次临时股东大会/股东大会决议，公司成功发行</w:t>
      </w:r>
      <w:r>
        <w:rPr>
          <w:rFonts w:ascii="Times New Roman" w:hAnsi="Times New Roman" w:eastAsia="仿宋"/>
          <w:bCs/>
          <w:sz w:val="32"/>
          <w:szCs w:val="32"/>
          <w:u w:val="single"/>
        </w:rPr>
        <w:t xml:space="preserve">     </w:t>
      </w:r>
      <w:r>
        <w:rPr>
          <w:rFonts w:ascii="Times New Roman" w:hAnsi="Times New Roman" w:eastAsia="仿宋"/>
          <w:bCs/>
          <w:sz w:val="32"/>
          <w:szCs w:val="32"/>
        </w:rPr>
        <w:t>万股，募集资金</w:t>
      </w:r>
      <w:r>
        <w:rPr>
          <w:rFonts w:ascii="Times New Roman" w:hAnsi="Times New Roman" w:eastAsia="仿宋"/>
          <w:bCs/>
          <w:sz w:val="32"/>
          <w:szCs w:val="32"/>
          <w:u w:val="single"/>
        </w:rPr>
        <w:t xml:space="preserve">     </w:t>
      </w:r>
      <w:r>
        <w:rPr>
          <w:rFonts w:ascii="Times New Roman" w:hAnsi="Times New Roman" w:eastAsia="仿宋"/>
          <w:bCs/>
          <w:sz w:val="32"/>
          <w:szCs w:val="32"/>
        </w:rPr>
        <w:t xml:space="preserve">万元。 </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u w:val="single"/>
        </w:rPr>
        <w:t xml:space="preserve">     </w:t>
      </w:r>
      <w:r>
        <w:rPr>
          <w:rFonts w:ascii="Times New Roman" w:hAnsi="Times New Roman" w:eastAsia="仿宋"/>
          <w:bCs/>
          <w:sz w:val="32"/>
          <w:szCs w:val="32"/>
        </w:rPr>
        <w:t>年</w:t>
      </w:r>
      <w:r>
        <w:rPr>
          <w:rFonts w:ascii="Times New Roman" w:hAnsi="Times New Roman" w:eastAsia="仿宋"/>
          <w:bCs/>
          <w:sz w:val="32"/>
          <w:szCs w:val="32"/>
          <w:u w:val="single"/>
        </w:rPr>
        <w:t xml:space="preserve">     </w:t>
      </w:r>
      <w:r>
        <w:rPr>
          <w:rFonts w:ascii="Times New Roman" w:hAnsi="Times New Roman" w:eastAsia="仿宋"/>
          <w:bCs/>
          <w:sz w:val="32"/>
          <w:szCs w:val="32"/>
        </w:rPr>
        <w:t>月</w:t>
      </w:r>
      <w:r>
        <w:rPr>
          <w:rFonts w:ascii="Times New Roman" w:hAnsi="Times New Roman" w:eastAsia="仿宋"/>
          <w:bCs/>
          <w:sz w:val="32"/>
          <w:szCs w:val="32"/>
          <w:u w:val="single"/>
        </w:rPr>
        <w:t xml:space="preserve">     </w:t>
      </w:r>
      <w:r>
        <w:rPr>
          <w:rFonts w:ascii="Times New Roman" w:hAnsi="Times New Roman" w:eastAsia="仿宋"/>
          <w:bCs/>
          <w:sz w:val="32"/>
          <w:szCs w:val="32"/>
        </w:rPr>
        <w:t>日，公司办理完成工商变更登记手续，并取得了变更后的营业执照。</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此次变更后，公司注册资本增至人民币</w:t>
      </w:r>
      <w:r>
        <w:rPr>
          <w:rFonts w:ascii="Times New Roman" w:hAnsi="Times New Roman" w:eastAsia="仿宋"/>
          <w:bCs/>
          <w:sz w:val="32"/>
          <w:szCs w:val="32"/>
          <w:u w:val="single"/>
        </w:rPr>
        <w:t xml:space="preserve">     </w:t>
      </w:r>
      <w:r>
        <w:rPr>
          <w:rFonts w:ascii="Times New Roman" w:hAnsi="Times New Roman" w:eastAsia="仿宋"/>
          <w:bCs/>
          <w:sz w:val="32"/>
          <w:szCs w:val="32"/>
        </w:rPr>
        <w:t xml:space="preserve">万元。 </w:t>
      </w:r>
    </w:p>
    <w:p>
      <w:pPr>
        <w:widowControl/>
        <w:adjustRightInd w:val="0"/>
        <w:snapToGrid w:val="0"/>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 xml:space="preserve">特此公告。 </w:t>
      </w:r>
    </w:p>
    <w:p>
      <w:pPr>
        <w:spacing w:line="360" w:lineRule="auto"/>
        <w:ind w:firstLine="560" w:firstLineChars="200"/>
        <w:rPr>
          <w:rFonts w:ascii="Times New Roman" w:hAnsi="Times New Roman" w:eastAsia="方正仿宋简体"/>
          <w:sz w:val="28"/>
          <w:szCs w:val="28"/>
        </w:rPr>
      </w:pPr>
      <w:r>
        <w:rPr>
          <w:rFonts w:ascii="Times New Roman" w:hAnsi="Times New Roman" w:eastAsia="方正仿宋简体"/>
          <w:sz w:val="28"/>
          <w:szCs w:val="28"/>
        </w:rPr>
        <w:t xml:space="preserve"> </w:t>
      </w:r>
    </w:p>
    <w:p>
      <w:pPr>
        <w:spacing w:line="360" w:lineRule="auto"/>
        <w:ind w:firstLine="560" w:firstLineChars="200"/>
        <w:rPr>
          <w:rFonts w:ascii="Times New Roman" w:hAnsi="Times New Roman" w:eastAsia="方正仿宋简体"/>
          <w:sz w:val="28"/>
          <w:szCs w:val="28"/>
        </w:rPr>
      </w:pPr>
    </w:p>
    <w:p>
      <w:pPr>
        <w:spacing w:line="360" w:lineRule="auto"/>
        <w:ind w:firstLine="560" w:firstLineChars="200"/>
        <w:rPr>
          <w:rFonts w:ascii="Times New Roman" w:hAnsi="Times New Roman" w:eastAsia="方正仿宋简体"/>
          <w:sz w:val="28"/>
          <w:szCs w:val="28"/>
        </w:rPr>
      </w:pPr>
    </w:p>
    <w:p>
      <w:pPr>
        <w:spacing w:line="360" w:lineRule="auto"/>
        <w:ind w:firstLine="640" w:firstLineChars="200"/>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u w:val="single"/>
        </w:rPr>
        <w:t xml:space="preserve">      </w:t>
      </w:r>
      <w:r>
        <w:rPr>
          <w:rFonts w:ascii="Times New Roman" w:hAnsi="Times New Roman" w:eastAsia="仿宋"/>
          <w:sz w:val="32"/>
          <w:szCs w:val="32"/>
        </w:rPr>
        <w:t>股份有限公司</w:t>
      </w:r>
    </w:p>
    <w:p>
      <w:pPr>
        <w:spacing w:line="360" w:lineRule="auto"/>
        <w:ind w:firstLine="640" w:firstLineChars="200"/>
        <w:rPr>
          <w:rFonts w:ascii="Times New Roman" w:hAnsi="Times New Roman" w:eastAsia="仿宋"/>
          <w:sz w:val="32"/>
          <w:szCs w:val="32"/>
        </w:rPr>
      </w:pPr>
      <w:r>
        <w:rPr>
          <w:rFonts w:ascii="Times New Roman" w:hAnsi="Times New Roman" w:eastAsia="仿宋"/>
          <w:sz w:val="32"/>
          <w:szCs w:val="32"/>
        </w:rPr>
        <w:t xml:space="preserve">                                        （公章）</w:t>
      </w:r>
    </w:p>
    <w:p>
      <w:pPr>
        <w:spacing w:line="360" w:lineRule="auto"/>
        <w:ind w:firstLine="640" w:firstLineChars="200"/>
        <w:jc w:val="right"/>
        <w:rPr>
          <w:rFonts w:ascii="Times New Roman" w:hAnsi="Times New Roman" w:eastAsia="仿宋"/>
          <w:sz w:val="32"/>
          <w:szCs w:val="32"/>
        </w:rPr>
      </w:pPr>
      <w:r>
        <w:rPr>
          <w:rFonts w:ascii="Times New Roman" w:hAnsi="Times New Roman" w:eastAsia="仿宋"/>
          <w:sz w:val="32"/>
          <w:szCs w:val="32"/>
        </w:rPr>
        <w:t xml:space="preserve">                                      年  月  日</w:t>
      </w:r>
    </w:p>
    <w:p>
      <w:pPr>
        <w:widowControl/>
        <w:jc w:val="left"/>
        <w:rPr>
          <w:rFonts w:ascii="Times New Roman" w:hAnsi="Times New Roman" w:eastAsia="仿宋"/>
          <w:sz w:val="32"/>
          <w:szCs w:val="32"/>
        </w:rPr>
      </w:pP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719015"/>
    </w:sdtPr>
    <w:sdtEndPr>
      <w:rPr>
        <w:rFonts w:ascii="宋体" w:hAnsi="宋体" w:eastAsia="宋体"/>
        <w:sz w:val="28"/>
      </w:rPr>
    </w:sdtEndPr>
    <w:sdtContent>
      <w:p>
        <w:pPr>
          <w:pStyle w:val="4"/>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19 -</w:t>
        </w:r>
        <w:r>
          <w:rPr>
            <w:rFonts w:ascii="宋体" w:hAns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383834"/>
    </w:sdtPr>
    <w:sdtEndPr>
      <w:rPr>
        <w:rFonts w:ascii="宋体" w:hAnsi="宋体" w:eastAsia="宋体"/>
        <w:sz w:val="28"/>
      </w:rPr>
    </w:sdtEndPr>
    <w:sdtContent>
      <w:p>
        <w:pPr>
          <w:pStyle w:val="4"/>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18 -</w:t>
        </w:r>
        <w:r>
          <w:rPr>
            <w:rFonts w:ascii="宋体" w:hAnsi="宋体" w:eastAsia="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0A"/>
    <w:rsid w:val="000003B7"/>
    <w:rsid w:val="000012E6"/>
    <w:rsid w:val="0000224B"/>
    <w:rsid w:val="00004CB5"/>
    <w:rsid w:val="000051B1"/>
    <w:rsid w:val="00005EE9"/>
    <w:rsid w:val="00013281"/>
    <w:rsid w:val="00014D60"/>
    <w:rsid w:val="00015F4F"/>
    <w:rsid w:val="00016E5A"/>
    <w:rsid w:val="00020C06"/>
    <w:rsid w:val="0002152B"/>
    <w:rsid w:val="00021E42"/>
    <w:rsid w:val="000229E8"/>
    <w:rsid w:val="0002350D"/>
    <w:rsid w:val="00023A53"/>
    <w:rsid w:val="00024F29"/>
    <w:rsid w:val="00025215"/>
    <w:rsid w:val="000309BF"/>
    <w:rsid w:val="00031D0F"/>
    <w:rsid w:val="00032CE8"/>
    <w:rsid w:val="00033C48"/>
    <w:rsid w:val="00035DC5"/>
    <w:rsid w:val="00041A68"/>
    <w:rsid w:val="00043362"/>
    <w:rsid w:val="00043FBB"/>
    <w:rsid w:val="00044E6C"/>
    <w:rsid w:val="000457F7"/>
    <w:rsid w:val="00045B4B"/>
    <w:rsid w:val="00046F9D"/>
    <w:rsid w:val="000476A9"/>
    <w:rsid w:val="00053242"/>
    <w:rsid w:val="0005679A"/>
    <w:rsid w:val="00063253"/>
    <w:rsid w:val="0006339B"/>
    <w:rsid w:val="000639A6"/>
    <w:rsid w:val="00066967"/>
    <w:rsid w:val="00070E46"/>
    <w:rsid w:val="000711D0"/>
    <w:rsid w:val="0007170B"/>
    <w:rsid w:val="00073D5D"/>
    <w:rsid w:val="00076A4C"/>
    <w:rsid w:val="00080579"/>
    <w:rsid w:val="0008211C"/>
    <w:rsid w:val="0008292F"/>
    <w:rsid w:val="00083D15"/>
    <w:rsid w:val="00083D98"/>
    <w:rsid w:val="00084434"/>
    <w:rsid w:val="00087021"/>
    <w:rsid w:val="00091147"/>
    <w:rsid w:val="00091373"/>
    <w:rsid w:val="00091A83"/>
    <w:rsid w:val="0009312B"/>
    <w:rsid w:val="00094EB4"/>
    <w:rsid w:val="000974D8"/>
    <w:rsid w:val="000A0253"/>
    <w:rsid w:val="000A1622"/>
    <w:rsid w:val="000A26D2"/>
    <w:rsid w:val="000A2868"/>
    <w:rsid w:val="000A3A2B"/>
    <w:rsid w:val="000A4069"/>
    <w:rsid w:val="000A40DC"/>
    <w:rsid w:val="000A4F9E"/>
    <w:rsid w:val="000A54DE"/>
    <w:rsid w:val="000A58FC"/>
    <w:rsid w:val="000A5E2A"/>
    <w:rsid w:val="000A6106"/>
    <w:rsid w:val="000A66C0"/>
    <w:rsid w:val="000A703F"/>
    <w:rsid w:val="000B1132"/>
    <w:rsid w:val="000B6AD6"/>
    <w:rsid w:val="000B6E26"/>
    <w:rsid w:val="000B7C17"/>
    <w:rsid w:val="000C5302"/>
    <w:rsid w:val="000C5AE2"/>
    <w:rsid w:val="000C6F60"/>
    <w:rsid w:val="000C7CD1"/>
    <w:rsid w:val="000D0D26"/>
    <w:rsid w:val="000D1F98"/>
    <w:rsid w:val="000D560B"/>
    <w:rsid w:val="000D56AE"/>
    <w:rsid w:val="000E1194"/>
    <w:rsid w:val="000E2FAC"/>
    <w:rsid w:val="000E4530"/>
    <w:rsid w:val="000E4AC0"/>
    <w:rsid w:val="000E4C8F"/>
    <w:rsid w:val="000E5F05"/>
    <w:rsid w:val="000E603F"/>
    <w:rsid w:val="000E60F4"/>
    <w:rsid w:val="000E6C90"/>
    <w:rsid w:val="000E7574"/>
    <w:rsid w:val="000F0A8A"/>
    <w:rsid w:val="000F39BE"/>
    <w:rsid w:val="0010133D"/>
    <w:rsid w:val="001036BD"/>
    <w:rsid w:val="00103E47"/>
    <w:rsid w:val="00106D2E"/>
    <w:rsid w:val="00107543"/>
    <w:rsid w:val="001101E9"/>
    <w:rsid w:val="0011293B"/>
    <w:rsid w:val="0011669E"/>
    <w:rsid w:val="00117948"/>
    <w:rsid w:val="001211BF"/>
    <w:rsid w:val="0012146B"/>
    <w:rsid w:val="00125997"/>
    <w:rsid w:val="001262FB"/>
    <w:rsid w:val="00127EE1"/>
    <w:rsid w:val="001309AD"/>
    <w:rsid w:val="0013188D"/>
    <w:rsid w:val="0013431A"/>
    <w:rsid w:val="00137687"/>
    <w:rsid w:val="0013781A"/>
    <w:rsid w:val="001378AF"/>
    <w:rsid w:val="001402F8"/>
    <w:rsid w:val="001413AB"/>
    <w:rsid w:val="001415EE"/>
    <w:rsid w:val="00141CB1"/>
    <w:rsid w:val="00142F35"/>
    <w:rsid w:val="00143F00"/>
    <w:rsid w:val="001456BB"/>
    <w:rsid w:val="00147A5C"/>
    <w:rsid w:val="00151AFF"/>
    <w:rsid w:val="00151E37"/>
    <w:rsid w:val="001559A0"/>
    <w:rsid w:val="00157036"/>
    <w:rsid w:val="00157681"/>
    <w:rsid w:val="00160037"/>
    <w:rsid w:val="00162088"/>
    <w:rsid w:val="001652B3"/>
    <w:rsid w:val="0016555B"/>
    <w:rsid w:val="00167E89"/>
    <w:rsid w:val="0017216F"/>
    <w:rsid w:val="001728FE"/>
    <w:rsid w:val="0017453E"/>
    <w:rsid w:val="00174DBB"/>
    <w:rsid w:val="00176FAB"/>
    <w:rsid w:val="00177D16"/>
    <w:rsid w:val="00177E6C"/>
    <w:rsid w:val="001831A7"/>
    <w:rsid w:val="00185F84"/>
    <w:rsid w:val="0018720F"/>
    <w:rsid w:val="00187494"/>
    <w:rsid w:val="00187AB2"/>
    <w:rsid w:val="00190116"/>
    <w:rsid w:val="00190F96"/>
    <w:rsid w:val="00192367"/>
    <w:rsid w:val="00192508"/>
    <w:rsid w:val="001928D1"/>
    <w:rsid w:val="00192DA8"/>
    <w:rsid w:val="00193BC9"/>
    <w:rsid w:val="00194CD3"/>
    <w:rsid w:val="001A2191"/>
    <w:rsid w:val="001A239D"/>
    <w:rsid w:val="001A3036"/>
    <w:rsid w:val="001A3D7C"/>
    <w:rsid w:val="001A72FF"/>
    <w:rsid w:val="001B72EF"/>
    <w:rsid w:val="001B741B"/>
    <w:rsid w:val="001C14DC"/>
    <w:rsid w:val="001C2439"/>
    <w:rsid w:val="001C2E8E"/>
    <w:rsid w:val="001C3409"/>
    <w:rsid w:val="001C3FCC"/>
    <w:rsid w:val="001C44EB"/>
    <w:rsid w:val="001C4C4D"/>
    <w:rsid w:val="001D0599"/>
    <w:rsid w:val="001D24EA"/>
    <w:rsid w:val="001D26AD"/>
    <w:rsid w:val="001D3DF4"/>
    <w:rsid w:val="001E0676"/>
    <w:rsid w:val="001E0B47"/>
    <w:rsid w:val="001E21AE"/>
    <w:rsid w:val="001E527E"/>
    <w:rsid w:val="001F026C"/>
    <w:rsid w:val="001F0BC3"/>
    <w:rsid w:val="001F68E1"/>
    <w:rsid w:val="001F783D"/>
    <w:rsid w:val="00200CAA"/>
    <w:rsid w:val="00201241"/>
    <w:rsid w:val="002049BE"/>
    <w:rsid w:val="00205659"/>
    <w:rsid w:val="00205B67"/>
    <w:rsid w:val="0020669C"/>
    <w:rsid w:val="00214774"/>
    <w:rsid w:val="002149FC"/>
    <w:rsid w:val="00214F79"/>
    <w:rsid w:val="00215383"/>
    <w:rsid w:val="0021556C"/>
    <w:rsid w:val="002164C6"/>
    <w:rsid w:val="00216948"/>
    <w:rsid w:val="002174EC"/>
    <w:rsid w:val="002205C0"/>
    <w:rsid w:val="002208A5"/>
    <w:rsid w:val="002213CE"/>
    <w:rsid w:val="00227FC3"/>
    <w:rsid w:val="002301C1"/>
    <w:rsid w:val="002301E8"/>
    <w:rsid w:val="00230290"/>
    <w:rsid w:val="00230F7E"/>
    <w:rsid w:val="00232DF7"/>
    <w:rsid w:val="00232EF8"/>
    <w:rsid w:val="002332FC"/>
    <w:rsid w:val="00235405"/>
    <w:rsid w:val="002378AE"/>
    <w:rsid w:val="00240340"/>
    <w:rsid w:val="00240CBA"/>
    <w:rsid w:val="00240DB1"/>
    <w:rsid w:val="00240F71"/>
    <w:rsid w:val="002410D7"/>
    <w:rsid w:val="00242322"/>
    <w:rsid w:val="00243AC1"/>
    <w:rsid w:val="002457E2"/>
    <w:rsid w:val="002470AE"/>
    <w:rsid w:val="00250F7C"/>
    <w:rsid w:val="00251D40"/>
    <w:rsid w:val="00253DD5"/>
    <w:rsid w:val="002560F8"/>
    <w:rsid w:val="00261DF0"/>
    <w:rsid w:val="00262258"/>
    <w:rsid w:val="00262C42"/>
    <w:rsid w:val="00271074"/>
    <w:rsid w:val="002714CE"/>
    <w:rsid w:val="00273ABE"/>
    <w:rsid w:val="00273B6D"/>
    <w:rsid w:val="00275854"/>
    <w:rsid w:val="002802A5"/>
    <w:rsid w:val="0028071A"/>
    <w:rsid w:val="002829FE"/>
    <w:rsid w:val="00282AA0"/>
    <w:rsid w:val="002841AA"/>
    <w:rsid w:val="002845C2"/>
    <w:rsid w:val="0028585A"/>
    <w:rsid w:val="002866A9"/>
    <w:rsid w:val="00291184"/>
    <w:rsid w:val="00294580"/>
    <w:rsid w:val="0029577D"/>
    <w:rsid w:val="002A16BA"/>
    <w:rsid w:val="002A1C05"/>
    <w:rsid w:val="002A29B4"/>
    <w:rsid w:val="002A4905"/>
    <w:rsid w:val="002B11D1"/>
    <w:rsid w:val="002B19B4"/>
    <w:rsid w:val="002B1A93"/>
    <w:rsid w:val="002B2805"/>
    <w:rsid w:val="002B2A96"/>
    <w:rsid w:val="002B3D4A"/>
    <w:rsid w:val="002B5E87"/>
    <w:rsid w:val="002B7F30"/>
    <w:rsid w:val="002C6A0C"/>
    <w:rsid w:val="002D08F6"/>
    <w:rsid w:val="002D0CF9"/>
    <w:rsid w:val="002D12B5"/>
    <w:rsid w:val="002D2A6F"/>
    <w:rsid w:val="002D6146"/>
    <w:rsid w:val="002E2FFF"/>
    <w:rsid w:val="002E3058"/>
    <w:rsid w:val="002E44AF"/>
    <w:rsid w:val="002E4804"/>
    <w:rsid w:val="002E4C59"/>
    <w:rsid w:val="002E4CF9"/>
    <w:rsid w:val="002E4E59"/>
    <w:rsid w:val="002E523C"/>
    <w:rsid w:val="002E5DC4"/>
    <w:rsid w:val="002E61D9"/>
    <w:rsid w:val="002E7991"/>
    <w:rsid w:val="002F185C"/>
    <w:rsid w:val="002F1D10"/>
    <w:rsid w:val="002F1F03"/>
    <w:rsid w:val="002F44E9"/>
    <w:rsid w:val="002F56EC"/>
    <w:rsid w:val="002F5BCD"/>
    <w:rsid w:val="002F7B60"/>
    <w:rsid w:val="00302256"/>
    <w:rsid w:val="0030307B"/>
    <w:rsid w:val="00304014"/>
    <w:rsid w:val="00307B5B"/>
    <w:rsid w:val="00310FA7"/>
    <w:rsid w:val="0031647E"/>
    <w:rsid w:val="00322A20"/>
    <w:rsid w:val="0032387B"/>
    <w:rsid w:val="00324CD6"/>
    <w:rsid w:val="00325176"/>
    <w:rsid w:val="003276F1"/>
    <w:rsid w:val="003277EE"/>
    <w:rsid w:val="00330AAE"/>
    <w:rsid w:val="00331DAE"/>
    <w:rsid w:val="003351C3"/>
    <w:rsid w:val="0033595A"/>
    <w:rsid w:val="00337AC0"/>
    <w:rsid w:val="0034498D"/>
    <w:rsid w:val="00345D54"/>
    <w:rsid w:val="003471C9"/>
    <w:rsid w:val="00347A73"/>
    <w:rsid w:val="0035434F"/>
    <w:rsid w:val="00357723"/>
    <w:rsid w:val="0036360C"/>
    <w:rsid w:val="00365ED1"/>
    <w:rsid w:val="00371BD4"/>
    <w:rsid w:val="00372C39"/>
    <w:rsid w:val="0037346C"/>
    <w:rsid w:val="00373F9F"/>
    <w:rsid w:val="00375071"/>
    <w:rsid w:val="0037586D"/>
    <w:rsid w:val="00375874"/>
    <w:rsid w:val="003759A0"/>
    <w:rsid w:val="00377B76"/>
    <w:rsid w:val="00382F95"/>
    <w:rsid w:val="00387044"/>
    <w:rsid w:val="00387773"/>
    <w:rsid w:val="00387F57"/>
    <w:rsid w:val="0039003D"/>
    <w:rsid w:val="00390E52"/>
    <w:rsid w:val="00391138"/>
    <w:rsid w:val="003929DD"/>
    <w:rsid w:val="003931AD"/>
    <w:rsid w:val="003933EE"/>
    <w:rsid w:val="00393953"/>
    <w:rsid w:val="00396987"/>
    <w:rsid w:val="00396DAD"/>
    <w:rsid w:val="00397B62"/>
    <w:rsid w:val="003A329B"/>
    <w:rsid w:val="003A4297"/>
    <w:rsid w:val="003A5D51"/>
    <w:rsid w:val="003A5ECE"/>
    <w:rsid w:val="003B05CB"/>
    <w:rsid w:val="003B116B"/>
    <w:rsid w:val="003B24B5"/>
    <w:rsid w:val="003B3F30"/>
    <w:rsid w:val="003B4054"/>
    <w:rsid w:val="003B5E95"/>
    <w:rsid w:val="003B63AF"/>
    <w:rsid w:val="003C2081"/>
    <w:rsid w:val="003C2EC1"/>
    <w:rsid w:val="003C3190"/>
    <w:rsid w:val="003C4AB8"/>
    <w:rsid w:val="003C535A"/>
    <w:rsid w:val="003C5B44"/>
    <w:rsid w:val="003C5E8E"/>
    <w:rsid w:val="003C6D5E"/>
    <w:rsid w:val="003D01EE"/>
    <w:rsid w:val="003D094E"/>
    <w:rsid w:val="003D1D14"/>
    <w:rsid w:val="003D203E"/>
    <w:rsid w:val="003D2DB5"/>
    <w:rsid w:val="003D6FCF"/>
    <w:rsid w:val="003E237D"/>
    <w:rsid w:val="003E2D8F"/>
    <w:rsid w:val="003E3837"/>
    <w:rsid w:val="003E69DC"/>
    <w:rsid w:val="003F069E"/>
    <w:rsid w:val="003F0B74"/>
    <w:rsid w:val="003F1ABC"/>
    <w:rsid w:val="003F2919"/>
    <w:rsid w:val="003F2B4D"/>
    <w:rsid w:val="003F394E"/>
    <w:rsid w:val="003F4C50"/>
    <w:rsid w:val="003F4EB4"/>
    <w:rsid w:val="004009D3"/>
    <w:rsid w:val="00400F4C"/>
    <w:rsid w:val="00410674"/>
    <w:rsid w:val="00411923"/>
    <w:rsid w:val="00411992"/>
    <w:rsid w:val="00412994"/>
    <w:rsid w:val="00412C4A"/>
    <w:rsid w:val="0041627E"/>
    <w:rsid w:val="00416863"/>
    <w:rsid w:val="0042301B"/>
    <w:rsid w:val="00423D32"/>
    <w:rsid w:val="00425420"/>
    <w:rsid w:val="00427B4A"/>
    <w:rsid w:val="004303BE"/>
    <w:rsid w:val="0043068B"/>
    <w:rsid w:val="00432D60"/>
    <w:rsid w:val="00435348"/>
    <w:rsid w:val="00435AF0"/>
    <w:rsid w:val="00436C02"/>
    <w:rsid w:val="004403CC"/>
    <w:rsid w:val="004415CF"/>
    <w:rsid w:val="00441EC4"/>
    <w:rsid w:val="00442830"/>
    <w:rsid w:val="00445AF2"/>
    <w:rsid w:val="004470E0"/>
    <w:rsid w:val="004514CF"/>
    <w:rsid w:val="00451CA5"/>
    <w:rsid w:val="00451DE7"/>
    <w:rsid w:val="00451F80"/>
    <w:rsid w:val="004524B8"/>
    <w:rsid w:val="00456B6C"/>
    <w:rsid w:val="004570D9"/>
    <w:rsid w:val="00457B63"/>
    <w:rsid w:val="00457F4A"/>
    <w:rsid w:val="0046154F"/>
    <w:rsid w:val="00466A29"/>
    <w:rsid w:val="00467BB3"/>
    <w:rsid w:val="00472CCE"/>
    <w:rsid w:val="00474688"/>
    <w:rsid w:val="004771B3"/>
    <w:rsid w:val="00477C3A"/>
    <w:rsid w:val="00480FC3"/>
    <w:rsid w:val="00482D0E"/>
    <w:rsid w:val="0048343B"/>
    <w:rsid w:val="00483A01"/>
    <w:rsid w:val="00484877"/>
    <w:rsid w:val="004852AD"/>
    <w:rsid w:val="004859FA"/>
    <w:rsid w:val="0049067A"/>
    <w:rsid w:val="0049368E"/>
    <w:rsid w:val="00493954"/>
    <w:rsid w:val="00493E5C"/>
    <w:rsid w:val="00494624"/>
    <w:rsid w:val="004949C0"/>
    <w:rsid w:val="00494DCB"/>
    <w:rsid w:val="0049578B"/>
    <w:rsid w:val="004A23A3"/>
    <w:rsid w:val="004A2A96"/>
    <w:rsid w:val="004A3D68"/>
    <w:rsid w:val="004A4673"/>
    <w:rsid w:val="004A6B82"/>
    <w:rsid w:val="004B672C"/>
    <w:rsid w:val="004C089F"/>
    <w:rsid w:val="004C2542"/>
    <w:rsid w:val="004C391F"/>
    <w:rsid w:val="004C59A2"/>
    <w:rsid w:val="004C71ED"/>
    <w:rsid w:val="004D0143"/>
    <w:rsid w:val="004D218D"/>
    <w:rsid w:val="004D436E"/>
    <w:rsid w:val="004D6575"/>
    <w:rsid w:val="004D6622"/>
    <w:rsid w:val="004D6DA6"/>
    <w:rsid w:val="004E1499"/>
    <w:rsid w:val="004E3F47"/>
    <w:rsid w:val="004E6C99"/>
    <w:rsid w:val="004E6EF3"/>
    <w:rsid w:val="004F3BE2"/>
    <w:rsid w:val="004F4AF7"/>
    <w:rsid w:val="004F51FF"/>
    <w:rsid w:val="004F61B3"/>
    <w:rsid w:val="004F6E6A"/>
    <w:rsid w:val="004F7200"/>
    <w:rsid w:val="004F7266"/>
    <w:rsid w:val="004F7BE9"/>
    <w:rsid w:val="005001C7"/>
    <w:rsid w:val="00500A46"/>
    <w:rsid w:val="00502534"/>
    <w:rsid w:val="00503A40"/>
    <w:rsid w:val="0050408F"/>
    <w:rsid w:val="00504447"/>
    <w:rsid w:val="00504F4C"/>
    <w:rsid w:val="005050BA"/>
    <w:rsid w:val="00511239"/>
    <w:rsid w:val="00511B28"/>
    <w:rsid w:val="00511DEE"/>
    <w:rsid w:val="00515C42"/>
    <w:rsid w:val="00517F09"/>
    <w:rsid w:val="00520846"/>
    <w:rsid w:val="00520A51"/>
    <w:rsid w:val="00521F31"/>
    <w:rsid w:val="005226D8"/>
    <w:rsid w:val="005250FD"/>
    <w:rsid w:val="00525FAC"/>
    <w:rsid w:val="0053020B"/>
    <w:rsid w:val="00532819"/>
    <w:rsid w:val="0053320E"/>
    <w:rsid w:val="00533C82"/>
    <w:rsid w:val="005343FD"/>
    <w:rsid w:val="005364EF"/>
    <w:rsid w:val="00536C7E"/>
    <w:rsid w:val="005418C7"/>
    <w:rsid w:val="00541E38"/>
    <w:rsid w:val="005435AA"/>
    <w:rsid w:val="005440D5"/>
    <w:rsid w:val="00544314"/>
    <w:rsid w:val="0054516B"/>
    <w:rsid w:val="00545432"/>
    <w:rsid w:val="00546C04"/>
    <w:rsid w:val="00546DBB"/>
    <w:rsid w:val="00546FF4"/>
    <w:rsid w:val="005472F1"/>
    <w:rsid w:val="005475E7"/>
    <w:rsid w:val="00547BE0"/>
    <w:rsid w:val="005536EC"/>
    <w:rsid w:val="00553773"/>
    <w:rsid w:val="0055434B"/>
    <w:rsid w:val="00554DA5"/>
    <w:rsid w:val="00556075"/>
    <w:rsid w:val="0055646F"/>
    <w:rsid w:val="00556A85"/>
    <w:rsid w:val="0056317C"/>
    <w:rsid w:val="0056333C"/>
    <w:rsid w:val="00570C0A"/>
    <w:rsid w:val="005710E3"/>
    <w:rsid w:val="005713F9"/>
    <w:rsid w:val="00572C4B"/>
    <w:rsid w:val="00574E54"/>
    <w:rsid w:val="005803D5"/>
    <w:rsid w:val="00580685"/>
    <w:rsid w:val="0058262C"/>
    <w:rsid w:val="005855FD"/>
    <w:rsid w:val="00590F0A"/>
    <w:rsid w:val="00592FF0"/>
    <w:rsid w:val="005A1DDC"/>
    <w:rsid w:val="005A21E3"/>
    <w:rsid w:val="005A5712"/>
    <w:rsid w:val="005A68F4"/>
    <w:rsid w:val="005B0506"/>
    <w:rsid w:val="005B5548"/>
    <w:rsid w:val="005C30D3"/>
    <w:rsid w:val="005C4750"/>
    <w:rsid w:val="005C62BD"/>
    <w:rsid w:val="005C65FD"/>
    <w:rsid w:val="005C7A94"/>
    <w:rsid w:val="005D01E1"/>
    <w:rsid w:val="005D075F"/>
    <w:rsid w:val="005D4A7E"/>
    <w:rsid w:val="005D6B88"/>
    <w:rsid w:val="005D6B9C"/>
    <w:rsid w:val="005D6C47"/>
    <w:rsid w:val="005E02FB"/>
    <w:rsid w:val="005E190A"/>
    <w:rsid w:val="005E322F"/>
    <w:rsid w:val="005E5B37"/>
    <w:rsid w:val="005E670A"/>
    <w:rsid w:val="005F0BAC"/>
    <w:rsid w:val="005F108D"/>
    <w:rsid w:val="005F559E"/>
    <w:rsid w:val="005F728B"/>
    <w:rsid w:val="005F75AB"/>
    <w:rsid w:val="0060469E"/>
    <w:rsid w:val="00604D5D"/>
    <w:rsid w:val="00606C5B"/>
    <w:rsid w:val="006078D3"/>
    <w:rsid w:val="00610479"/>
    <w:rsid w:val="00610530"/>
    <w:rsid w:val="00610BC1"/>
    <w:rsid w:val="00612919"/>
    <w:rsid w:val="00620CD3"/>
    <w:rsid w:val="0062108E"/>
    <w:rsid w:val="00621A3D"/>
    <w:rsid w:val="0062646B"/>
    <w:rsid w:val="00627DA6"/>
    <w:rsid w:val="00632450"/>
    <w:rsid w:val="00632A6D"/>
    <w:rsid w:val="00635BDD"/>
    <w:rsid w:val="00636010"/>
    <w:rsid w:val="00637705"/>
    <w:rsid w:val="0064168F"/>
    <w:rsid w:val="00641999"/>
    <w:rsid w:val="00642E67"/>
    <w:rsid w:val="006466AE"/>
    <w:rsid w:val="006473C3"/>
    <w:rsid w:val="006542A1"/>
    <w:rsid w:val="00656BE5"/>
    <w:rsid w:val="00662337"/>
    <w:rsid w:val="00663B9A"/>
    <w:rsid w:val="00663F9F"/>
    <w:rsid w:val="006644AB"/>
    <w:rsid w:val="006652E9"/>
    <w:rsid w:val="0067040A"/>
    <w:rsid w:val="00671326"/>
    <w:rsid w:val="00673837"/>
    <w:rsid w:val="006738EC"/>
    <w:rsid w:val="00674162"/>
    <w:rsid w:val="00676A9B"/>
    <w:rsid w:val="00682510"/>
    <w:rsid w:val="0069454E"/>
    <w:rsid w:val="006952B3"/>
    <w:rsid w:val="006976CD"/>
    <w:rsid w:val="006A0163"/>
    <w:rsid w:val="006A0A63"/>
    <w:rsid w:val="006A41DF"/>
    <w:rsid w:val="006A4B12"/>
    <w:rsid w:val="006A4B4B"/>
    <w:rsid w:val="006A6B76"/>
    <w:rsid w:val="006A76D9"/>
    <w:rsid w:val="006B1021"/>
    <w:rsid w:val="006B1C8A"/>
    <w:rsid w:val="006B2B00"/>
    <w:rsid w:val="006B483B"/>
    <w:rsid w:val="006B5DAC"/>
    <w:rsid w:val="006B7B26"/>
    <w:rsid w:val="006C153C"/>
    <w:rsid w:val="006C308C"/>
    <w:rsid w:val="006C3224"/>
    <w:rsid w:val="006C3D01"/>
    <w:rsid w:val="006D10DE"/>
    <w:rsid w:val="006D21FC"/>
    <w:rsid w:val="006D290E"/>
    <w:rsid w:val="006D2C60"/>
    <w:rsid w:val="006D7871"/>
    <w:rsid w:val="006E0396"/>
    <w:rsid w:val="006E2903"/>
    <w:rsid w:val="006E31C2"/>
    <w:rsid w:val="006E36EA"/>
    <w:rsid w:val="006E50D5"/>
    <w:rsid w:val="006F09FF"/>
    <w:rsid w:val="006F21F7"/>
    <w:rsid w:val="006F2737"/>
    <w:rsid w:val="006F2F56"/>
    <w:rsid w:val="006F38E8"/>
    <w:rsid w:val="006F6059"/>
    <w:rsid w:val="006F7304"/>
    <w:rsid w:val="006F761E"/>
    <w:rsid w:val="006F7A27"/>
    <w:rsid w:val="00702FE5"/>
    <w:rsid w:val="007035C6"/>
    <w:rsid w:val="00704A82"/>
    <w:rsid w:val="0070513B"/>
    <w:rsid w:val="0070598B"/>
    <w:rsid w:val="00706D6C"/>
    <w:rsid w:val="00710765"/>
    <w:rsid w:val="00711CB6"/>
    <w:rsid w:val="00712387"/>
    <w:rsid w:val="00712B56"/>
    <w:rsid w:val="00713422"/>
    <w:rsid w:val="00713B2A"/>
    <w:rsid w:val="00713CD0"/>
    <w:rsid w:val="00713F1C"/>
    <w:rsid w:val="007155E8"/>
    <w:rsid w:val="00715BAF"/>
    <w:rsid w:val="007179DC"/>
    <w:rsid w:val="00717F60"/>
    <w:rsid w:val="0072201D"/>
    <w:rsid w:val="007234D9"/>
    <w:rsid w:val="00723FBE"/>
    <w:rsid w:val="00725012"/>
    <w:rsid w:val="00731F8B"/>
    <w:rsid w:val="00733D5E"/>
    <w:rsid w:val="00735BF6"/>
    <w:rsid w:val="0074216E"/>
    <w:rsid w:val="007431C5"/>
    <w:rsid w:val="007432AB"/>
    <w:rsid w:val="007464FD"/>
    <w:rsid w:val="00746BF0"/>
    <w:rsid w:val="00747960"/>
    <w:rsid w:val="007502A5"/>
    <w:rsid w:val="0075393D"/>
    <w:rsid w:val="00757096"/>
    <w:rsid w:val="00757B2E"/>
    <w:rsid w:val="00762FAB"/>
    <w:rsid w:val="00764C5D"/>
    <w:rsid w:val="007669EB"/>
    <w:rsid w:val="00775121"/>
    <w:rsid w:val="007849B7"/>
    <w:rsid w:val="00784FC5"/>
    <w:rsid w:val="00787190"/>
    <w:rsid w:val="00791745"/>
    <w:rsid w:val="007952AE"/>
    <w:rsid w:val="0079589E"/>
    <w:rsid w:val="0079681B"/>
    <w:rsid w:val="0079775E"/>
    <w:rsid w:val="007A02F6"/>
    <w:rsid w:val="007A1BE1"/>
    <w:rsid w:val="007A58EE"/>
    <w:rsid w:val="007A6355"/>
    <w:rsid w:val="007A7356"/>
    <w:rsid w:val="007A7E82"/>
    <w:rsid w:val="007B16EB"/>
    <w:rsid w:val="007B47EF"/>
    <w:rsid w:val="007B5515"/>
    <w:rsid w:val="007B5F16"/>
    <w:rsid w:val="007B79F4"/>
    <w:rsid w:val="007C17DC"/>
    <w:rsid w:val="007C3286"/>
    <w:rsid w:val="007C33CA"/>
    <w:rsid w:val="007C64D2"/>
    <w:rsid w:val="007D08E3"/>
    <w:rsid w:val="007D15D7"/>
    <w:rsid w:val="007D2751"/>
    <w:rsid w:val="007D33C9"/>
    <w:rsid w:val="007D4760"/>
    <w:rsid w:val="007D6B7D"/>
    <w:rsid w:val="007E09C9"/>
    <w:rsid w:val="007E3C44"/>
    <w:rsid w:val="007F00EA"/>
    <w:rsid w:val="007F0B1B"/>
    <w:rsid w:val="007F1AE5"/>
    <w:rsid w:val="007F1F5B"/>
    <w:rsid w:val="007F23BC"/>
    <w:rsid w:val="007F25E9"/>
    <w:rsid w:val="007F46EC"/>
    <w:rsid w:val="007F5D88"/>
    <w:rsid w:val="007F5F1C"/>
    <w:rsid w:val="00800A74"/>
    <w:rsid w:val="00802C2E"/>
    <w:rsid w:val="00802ED7"/>
    <w:rsid w:val="00803619"/>
    <w:rsid w:val="00805F7F"/>
    <w:rsid w:val="00806A36"/>
    <w:rsid w:val="00807902"/>
    <w:rsid w:val="0081274E"/>
    <w:rsid w:val="00812DD0"/>
    <w:rsid w:val="008140C2"/>
    <w:rsid w:val="008145DF"/>
    <w:rsid w:val="00814A45"/>
    <w:rsid w:val="0081538A"/>
    <w:rsid w:val="00815A00"/>
    <w:rsid w:val="00817429"/>
    <w:rsid w:val="00821ACD"/>
    <w:rsid w:val="00821BA2"/>
    <w:rsid w:val="0082315B"/>
    <w:rsid w:val="008304E2"/>
    <w:rsid w:val="00834311"/>
    <w:rsid w:val="008365CB"/>
    <w:rsid w:val="008433F0"/>
    <w:rsid w:val="00843447"/>
    <w:rsid w:val="00843894"/>
    <w:rsid w:val="00844C35"/>
    <w:rsid w:val="00847962"/>
    <w:rsid w:val="00850AEB"/>
    <w:rsid w:val="00852002"/>
    <w:rsid w:val="008528AB"/>
    <w:rsid w:val="008573DE"/>
    <w:rsid w:val="00860EC9"/>
    <w:rsid w:val="00862CEE"/>
    <w:rsid w:val="0086388C"/>
    <w:rsid w:val="00864E56"/>
    <w:rsid w:val="0086587E"/>
    <w:rsid w:val="00872E88"/>
    <w:rsid w:val="00875F5C"/>
    <w:rsid w:val="00876BA9"/>
    <w:rsid w:val="00881CE7"/>
    <w:rsid w:val="00885EE2"/>
    <w:rsid w:val="008868A1"/>
    <w:rsid w:val="0088773C"/>
    <w:rsid w:val="00887840"/>
    <w:rsid w:val="0089023E"/>
    <w:rsid w:val="008902A1"/>
    <w:rsid w:val="00891990"/>
    <w:rsid w:val="0089264C"/>
    <w:rsid w:val="00892844"/>
    <w:rsid w:val="008935AC"/>
    <w:rsid w:val="008942BF"/>
    <w:rsid w:val="008955A0"/>
    <w:rsid w:val="00896943"/>
    <w:rsid w:val="008970E9"/>
    <w:rsid w:val="00897342"/>
    <w:rsid w:val="0089755E"/>
    <w:rsid w:val="008A327E"/>
    <w:rsid w:val="008A3C07"/>
    <w:rsid w:val="008A64DD"/>
    <w:rsid w:val="008A75A5"/>
    <w:rsid w:val="008B0391"/>
    <w:rsid w:val="008B13A6"/>
    <w:rsid w:val="008B16EE"/>
    <w:rsid w:val="008B4C33"/>
    <w:rsid w:val="008C06EA"/>
    <w:rsid w:val="008C2039"/>
    <w:rsid w:val="008C2084"/>
    <w:rsid w:val="008C24FF"/>
    <w:rsid w:val="008C2C9C"/>
    <w:rsid w:val="008C59D5"/>
    <w:rsid w:val="008C5EBD"/>
    <w:rsid w:val="008C5EE4"/>
    <w:rsid w:val="008C67EE"/>
    <w:rsid w:val="008D0EE5"/>
    <w:rsid w:val="008D1F23"/>
    <w:rsid w:val="008D4C77"/>
    <w:rsid w:val="008D5AED"/>
    <w:rsid w:val="008E0DD2"/>
    <w:rsid w:val="008E3E48"/>
    <w:rsid w:val="008E42C5"/>
    <w:rsid w:val="008E4AC9"/>
    <w:rsid w:val="008E6175"/>
    <w:rsid w:val="008E61E7"/>
    <w:rsid w:val="008E6384"/>
    <w:rsid w:val="008E6705"/>
    <w:rsid w:val="008F0E7C"/>
    <w:rsid w:val="008F17EF"/>
    <w:rsid w:val="008F1D59"/>
    <w:rsid w:val="008F2239"/>
    <w:rsid w:val="008F3373"/>
    <w:rsid w:val="008F5244"/>
    <w:rsid w:val="009023D6"/>
    <w:rsid w:val="0090258B"/>
    <w:rsid w:val="00903168"/>
    <w:rsid w:val="009031DC"/>
    <w:rsid w:val="0090322C"/>
    <w:rsid w:val="00903A07"/>
    <w:rsid w:val="00904DF7"/>
    <w:rsid w:val="00905B38"/>
    <w:rsid w:val="00907470"/>
    <w:rsid w:val="0091031B"/>
    <w:rsid w:val="00911118"/>
    <w:rsid w:val="00912489"/>
    <w:rsid w:val="00912AAB"/>
    <w:rsid w:val="00913AD4"/>
    <w:rsid w:val="00913CB3"/>
    <w:rsid w:val="0091533A"/>
    <w:rsid w:val="0092084A"/>
    <w:rsid w:val="00921B05"/>
    <w:rsid w:val="0092498C"/>
    <w:rsid w:val="00924F1E"/>
    <w:rsid w:val="00930411"/>
    <w:rsid w:val="00930927"/>
    <w:rsid w:val="00932E91"/>
    <w:rsid w:val="00933A7C"/>
    <w:rsid w:val="009413B8"/>
    <w:rsid w:val="009446C1"/>
    <w:rsid w:val="009449E8"/>
    <w:rsid w:val="009476EC"/>
    <w:rsid w:val="00952DA3"/>
    <w:rsid w:val="00954863"/>
    <w:rsid w:val="009552C0"/>
    <w:rsid w:val="00955A07"/>
    <w:rsid w:val="00955CE0"/>
    <w:rsid w:val="00960C68"/>
    <w:rsid w:val="00961E8A"/>
    <w:rsid w:val="00963210"/>
    <w:rsid w:val="009658A7"/>
    <w:rsid w:val="00966C60"/>
    <w:rsid w:val="009733E3"/>
    <w:rsid w:val="0097611E"/>
    <w:rsid w:val="00976BBE"/>
    <w:rsid w:val="00977F0A"/>
    <w:rsid w:val="00982FA8"/>
    <w:rsid w:val="00986518"/>
    <w:rsid w:val="0098663B"/>
    <w:rsid w:val="00986B7B"/>
    <w:rsid w:val="00986E79"/>
    <w:rsid w:val="00987576"/>
    <w:rsid w:val="009921FA"/>
    <w:rsid w:val="00992428"/>
    <w:rsid w:val="00993B5B"/>
    <w:rsid w:val="00995538"/>
    <w:rsid w:val="00997C6C"/>
    <w:rsid w:val="009A0766"/>
    <w:rsid w:val="009A09C0"/>
    <w:rsid w:val="009A2FDA"/>
    <w:rsid w:val="009A36FF"/>
    <w:rsid w:val="009A3705"/>
    <w:rsid w:val="009A4B3F"/>
    <w:rsid w:val="009A4E9A"/>
    <w:rsid w:val="009A4FE0"/>
    <w:rsid w:val="009A728B"/>
    <w:rsid w:val="009A761A"/>
    <w:rsid w:val="009B1113"/>
    <w:rsid w:val="009B1388"/>
    <w:rsid w:val="009B1810"/>
    <w:rsid w:val="009B1E2F"/>
    <w:rsid w:val="009B243C"/>
    <w:rsid w:val="009B68FE"/>
    <w:rsid w:val="009B6CF3"/>
    <w:rsid w:val="009C2036"/>
    <w:rsid w:val="009C30D1"/>
    <w:rsid w:val="009C3878"/>
    <w:rsid w:val="009C3C41"/>
    <w:rsid w:val="009C55E8"/>
    <w:rsid w:val="009C758A"/>
    <w:rsid w:val="009C7627"/>
    <w:rsid w:val="009D003A"/>
    <w:rsid w:val="009D019B"/>
    <w:rsid w:val="009D238E"/>
    <w:rsid w:val="009D3F90"/>
    <w:rsid w:val="009D57D8"/>
    <w:rsid w:val="009D6508"/>
    <w:rsid w:val="009D65EF"/>
    <w:rsid w:val="009E1235"/>
    <w:rsid w:val="009E2BA5"/>
    <w:rsid w:val="009E7100"/>
    <w:rsid w:val="009F1C40"/>
    <w:rsid w:val="009F2C76"/>
    <w:rsid w:val="009F3B2E"/>
    <w:rsid w:val="009F4039"/>
    <w:rsid w:val="009F55BE"/>
    <w:rsid w:val="009F6684"/>
    <w:rsid w:val="009F6A2B"/>
    <w:rsid w:val="00A0141D"/>
    <w:rsid w:val="00A04AE8"/>
    <w:rsid w:val="00A06D27"/>
    <w:rsid w:val="00A07E47"/>
    <w:rsid w:val="00A12756"/>
    <w:rsid w:val="00A139D7"/>
    <w:rsid w:val="00A15C09"/>
    <w:rsid w:val="00A17BA8"/>
    <w:rsid w:val="00A219C8"/>
    <w:rsid w:val="00A21B13"/>
    <w:rsid w:val="00A260AA"/>
    <w:rsid w:val="00A26474"/>
    <w:rsid w:val="00A27BE9"/>
    <w:rsid w:val="00A32136"/>
    <w:rsid w:val="00A325C5"/>
    <w:rsid w:val="00A333A4"/>
    <w:rsid w:val="00A36E45"/>
    <w:rsid w:val="00A40D23"/>
    <w:rsid w:val="00A42833"/>
    <w:rsid w:val="00A42855"/>
    <w:rsid w:val="00A42F44"/>
    <w:rsid w:val="00A47095"/>
    <w:rsid w:val="00A5088D"/>
    <w:rsid w:val="00A509FF"/>
    <w:rsid w:val="00A53570"/>
    <w:rsid w:val="00A54A5C"/>
    <w:rsid w:val="00A55DEC"/>
    <w:rsid w:val="00A67348"/>
    <w:rsid w:val="00A7129E"/>
    <w:rsid w:val="00A71559"/>
    <w:rsid w:val="00A7226E"/>
    <w:rsid w:val="00A72782"/>
    <w:rsid w:val="00A732A8"/>
    <w:rsid w:val="00A7416C"/>
    <w:rsid w:val="00A77883"/>
    <w:rsid w:val="00A816B2"/>
    <w:rsid w:val="00A836F8"/>
    <w:rsid w:val="00A843A9"/>
    <w:rsid w:val="00A86867"/>
    <w:rsid w:val="00A92C11"/>
    <w:rsid w:val="00A93E23"/>
    <w:rsid w:val="00A93F61"/>
    <w:rsid w:val="00A9596C"/>
    <w:rsid w:val="00AA03DC"/>
    <w:rsid w:val="00AA439F"/>
    <w:rsid w:val="00AA6B15"/>
    <w:rsid w:val="00AA7343"/>
    <w:rsid w:val="00AB202F"/>
    <w:rsid w:val="00AB3111"/>
    <w:rsid w:val="00AB42D4"/>
    <w:rsid w:val="00AB7135"/>
    <w:rsid w:val="00AC11AD"/>
    <w:rsid w:val="00AC32D4"/>
    <w:rsid w:val="00AC6CE9"/>
    <w:rsid w:val="00AC739C"/>
    <w:rsid w:val="00AC7D9D"/>
    <w:rsid w:val="00AD0038"/>
    <w:rsid w:val="00AD2483"/>
    <w:rsid w:val="00AD5C29"/>
    <w:rsid w:val="00AD6134"/>
    <w:rsid w:val="00AD794A"/>
    <w:rsid w:val="00AE1A15"/>
    <w:rsid w:val="00AE1B9B"/>
    <w:rsid w:val="00AE3682"/>
    <w:rsid w:val="00AE401B"/>
    <w:rsid w:val="00AE4551"/>
    <w:rsid w:val="00AE666D"/>
    <w:rsid w:val="00AE69A6"/>
    <w:rsid w:val="00AF07A6"/>
    <w:rsid w:val="00AF0D14"/>
    <w:rsid w:val="00AF33D4"/>
    <w:rsid w:val="00AF69D6"/>
    <w:rsid w:val="00B00AED"/>
    <w:rsid w:val="00B00E2D"/>
    <w:rsid w:val="00B00E3E"/>
    <w:rsid w:val="00B01503"/>
    <w:rsid w:val="00B01C42"/>
    <w:rsid w:val="00B03085"/>
    <w:rsid w:val="00B03771"/>
    <w:rsid w:val="00B07793"/>
    <w:rsid w:val="00B0779F"/>
    <w:rsid w:val="00B07859"/>
    <w:rsid w:val="00B170B4"/>
    <w:rsid w:val="00B175B3"/>
    <w:rsid w:val="00B17F5F"/>
    <w:rsid w:val="00B23472"/>
    <w:rsid w:val="00B2358A"/>
    <w:rsid w:val="00B239B5"/>
    <w:rsid w:val="00B24879"/>
    <w:rsid w:val="00B24EB6"/>
    <w:rsid w:val="00B25D90"/>
    <w:rsid w:val="00B264E8"/>
    <w:rsid w:val="00B268A7"/>
    <w:rsid w:val="00B2702E"/>
    <w:rsid w:val="00B31180"/>
    <w:rsid w:val="00B312B1"/>
    <w:rsid w:val="00B33C6C"/>
    <w:rsid w:val="00B3496E"/>
    <w:rsid w:val="00B35466"/>
    <w:rsid w:val="00B365E5"/>
    <w:rsid w:val="00B36813"/>
    <w:rsid w:val="00B378EF"/>
    <w:rsid w:val="00B37EAF"/>
    <w:rsid w:val="00B40C37"/>
    <w:rsid w:val="00B427D3"/>
    <w:rsid w:val="00B44121"/>
    <w:rsid w:val="00B44A48"/>
    <w:rsid w:val="00B44CAD"/>
    <w:rsid w:val="00B4547E"/>
    <w:rsid w:val="00B466B9"/>
    <w:rsid w:val="00B504AF"/>
    <w:rsid w:val="00B5174F"/>
    <w:rsid w:val="00B52A41"/>
    <w:rsid w:val="00B53C74"/>
    <w:rsid w:val="00B53E6C"/>
    <w:rsid w:val="00B53F5D"/>
    <w:rsid w:val="00B54FFB"/>
    <w:rsid w:val="00B55559"/>
    <w:rsid w:val="00B55926"/>
    <w:rsid w:val="00B560E7"/>
    <w:rsid w:val="00B60375"/>
    <w:rsid w:val="00B63C0A"/>
    <w:rsid w:val="00B6675D"/>
    <w:rsid w:val="00B70AA0"/>
    <w:rsid w:val="00B71F26"/>
    <w:rsid w:val="00B73297"/>
    <w:rsid w:val="00B75EA9"/>
    <w:rsid w:val="00B80E32"/>
    <w:rsid w:val="00B8173A"/>
    <w:rsid w:val="00B820D2"/>
    <w:rsid w:val="00B825A3"/>
    <w:rsid w:val="00B83858"/>
    <w:rsid w:val="00B919A0"/>
    <w:rsid w:val="00B936F4"/>
    <w:rsid w:val="00B9374D"/>
    <w:rsid w:val="00B9423A"/>
    <w:rsid w:val="00B9619C"/>
    <w:rsid w:val="00B97A1E"/>
    <w:rsid w:val="00B97DEF"/>
    <w:rsid w:val="00BA0772"/>
    <w:rsid w:val="00BA1329"/>
    <w:rsid w:val="00BA20B0"/>
    <w:rsid w:val="00BA2EFE"/>
    <w:rsid w:val="00BA3489"/>
    <w:rsid w:val="00BA5CA4"/>
    <w:rsid w:val="00BA6375"/>
    <w:rsid w:val="00BA6FAA"/>
    <w:rsid w:val="00BA70FF"/>
    <w:rsid w:val="00BA7F87"/>
    <w:rsid w:val="00BB55C4"/>
    <w:rsid w:val="00BB5C62"/>
    <w:rsid w:val="00BB7CEB"/>
    <w:rsid w:val="00BC1C82"/>
    <w:rsid w:val="00BC2654"/>
    <w:rsid w:val="00BC5E5A"/>
    <w:rsid w:val="00BD4737"/>
    <w:rsid w:val="00BD5945"/>
    <w:rsid w:val="00BD791E"/>
    <w:rsid w:val="00BE1E51"/>
    <w:rsid w:val="00BE27D9"/>
    <w:rsid w:val="00BE385B"/>
    <w:rsid w:val="00BE48E7"/>
    <w:rsid w:val="00BE5339"/>
    <w:rsid w:val="00BE6E6D"/>
    <w:rsid w:val="00BE7492"/>
    <w:rsid w:val="00BF23BE"/>
    <w:rsid w:val="00BF34B2"/>
    <w:rsid w:val="00BF5835"/>
    <w:rsid w:val="00BF67AD"/>
    <w:rsid w:val="00C00E6E"/>
    <w:rsid w:val="00C01E8A"/>
    <w:rsid w:val="00C03FE7"/>
    <w:rsid w:val="00C1002D"/>
    <w:rsid w:val="00C104A0"/>
    <w:rsid w:val="00C21E45"/>
    <w:rsid w:val="00C2405C"/>
    <w:rsid w:val="00C25645"/>
    <w:rsid w:val="00C2585C"/>
    <w:rsid w:val="00C36EBC"/>
    <w:rsid w:val="00C40CF6"/>
    <w:rsid w:val="00C41AE4"/>
    <w:rsid w:val="00C45631"/>
    <w:rsid w:val="00C46EFE"/>
    <w:rsid w:val="00C4791F"/>
    <w:rsid w:val="00C5076A"/>
    <w:rsid w:val="00C51A54"/>
    <w:rsid w:val="00C54272"/>
    <w:rsid w:val="00C5731D"/>
    <w:rsid w:val="00C57979"/>
    <w:rsid w:val="00C57F5F"/>
    <w:rsid w:val="00C6008C"/>
    <w:rsid w:val="00C607AF"/>
    <w:rsid w:val="00C60811"/>
    <w:rsid w:val="00C6168C"/>
    <w:rsid w:val="00C61CB0"/>
    <w:rsid w:val="00C62D1C"/>
    <w:rsid w:val="00C63DEC"/>
    <w:rsid w:val="00C66867"/>
    <w:rsid w:val="00C66B19"/>
    <w:rsid w:val="00C671B6"/>
    <w:rsid w:val="00C702D2"/>
    <w:rsid w:val="00C71C94"/>
    <w:rsid w:val="00C726F8"/>
    <w:rsid w:val="00C74826"/>
    <w:rsid w:val="00C77012"/>
    <w:rsid w:val="00C80353"/>
    <w:rsid w:val="00C8071B"/>
    <w:rsid w:val="00C80AA6"/>
    <w:rsid w:val="00C81DEF"/>
    <w:rsid w:val="00C8280C"/>
    <w:rsid w:val="00C828BC"/>
    <w:rsid w:val="00C8524D"/>
    <w:rsid w:val="00C85D87"/>
    <w:rsid w:val="00C85F6F"/>
    <w:rsid w:val="00C86342"/>
    <w:rsid w:val="00C927C8"/>
    <w:rsid w:val="00C9281B"/>
    <w:rsid w:val="00C9443A"/>
    <w:rsid w:val="00CA27A7"/>
    <w:rsid w:val="00CA3DDF"/>
    <w:rsid w:val="00CA3E81"/>
    <w:rsid w:val="00CA48C5"/>
    <w:rsid w:val="00CA6B61"/>
    <w:rsid w:val="00CA76FA"/>
    <w:rsid w:val="00CA7AC0"/>
    <w:rsid w:val="00CB0E32"/>
    <w:rsid w:val="00CB1704"/>
    <w:rsid w:val="00CB299B"/>
    <w:rsid w:val="00CB4E96"/>
    <w:rsid w:val="00CB6D43"/>
    <w:rsid w:val="00CC0A6B"/>
    <w:rsid w:val="00CC33BA"/>
    <w:rsid w:val="00CC4E15"/>
    <w:rsid w:val="00CC50E7"/>
    <w:rsid w:val="00CC69D9"/>
    <w:rsid w:val="00CD528E"/>
    <w:rsid w:val="00CD7687"/>
    <w:rsid w:val="00CE267F"/>
    <w:rsid w:val="00CE36F2"/>
    <w:rsid w:val="00CE3F0C"/>
    <w:rsid w:val="00CE527D"/>
    <w:rsid w:val="00CF031E"/>
    <w:rsid w:val="00CF30DF"/>
    <w:rsid w:val="00CF3E26"/>
    <w:rsid w:val="00CF5921"/>
    <w:rsid w:val="00CF6551"/>
    <w:rsid w:val="00D00B4C"/>
    <w:rsid w:val="00D03729"/>
    <w:rsid w:val="00D06146"/>
    <w:rsid w:val="00D066C0"/>
    <w:rsid w:val="00D06B2C"/>
    <w:rsid w:val="00D1177C"/>
    <w:rsid w:val="00D126CE"/>
    <w:rsid w:val="00D13195"/>
    <w:rsid w:val="00D13705"/>
    <w:rsid w:val="00D13DCE"/>
    <w:rsid w:val="00D20498"/>
    <w:rsid w:val="00D20D70"/>
    <w:rsid w:val="00D212F8"/>
    <w:rsid w:val="00D221B1"/>
    <w:rsid w:val="00D223CC"/>
    <w:rsid w:val="00D24701"/>
    <w:rsid w:val="00D25D83"/>
    <w:rsid w:val="00D2718C"/>
    <w:rsid w:val="00D276A7"/>
    <w:rsid w:val="00D27BE7"/>
    <w:rsid w:val="00D32485"/>
    <w:rsid w:val="00D3323B"/>
    <w:rsid w:val="00D34482"/>
    <w:rsid w:val="00D35766"/>
    <w:rsid w:val="00D36EE7"/>
    <w:rsid w:val="00D41841"/>
    <w:rsid w:val="00D41984"/>
    <w:rsid w:val="00D42C83"/>
    <w:rsid w:val="00D4353B"/>
    <w:rsid w:val="00D439A4"/>
    <w:rsid w:val="00D455F6"/>
    <w:rsid w:val="00D45ED3"/>
    <w:rsid w:val="00D46DC2"/>
    <w:rsid w:val="00D47B6F"/>
    <w:rsid w:val="00D5033F"/>
    <w:rsid w:val="00D506E6"/>
    <w:rsid w:val="00D52158"/>
    <w:rsid w:val="00D52674"/>
    <w:rsid w:val="00D5275E"/>
    <w:rsid w:val="00D534D3"/>
    <w:rsid w:val="00D54163"/>
    <w:rsid w:val="00D55D47"/>
    <w:rsid w:val="00D602F7"/>
    <w:rsid w:val="00D60AE1"/>
    <w:rsid w:val="00D61765"/>
    <w:rsid w:val="00D61AA2"/>
    <w:rsid w:val="00D61B0B"/>
    <w:rsid w:val="00D6281A"/>
    <w:rsid w:val="00D64556"/>
    <w:rsid w:val="00D649A0"/>
    <w:rsid w:val="00D64C43"/>
    <w:rsid w:val="00D66079"/>
    <w:rsid w:val="00D679ED"/>
    <w:rsid w:val="00D70AB4"/>
    <w:rsid w:val="00D72FEF"/>
    <w:rsid w:val="00D737FD"/>
    <w:rsid w:val="00D80377"/>
    <w:rsid w:val="00D82FA2"/>
    <w:rsid w:val="00D833E5"/>
    <w:rsid w:val="00D84158"/>
    <w:rsid w:val="00D857F9"/>
    <w:rsid w:val="00D875E5"/>
    <w:rsid w:val="00D87FD9"/>
    <w:rsid w:val="00D90B68"/>
    <w:rsid w:val="00D9320E"/>
    <w:rsid w:val="00DA0C13"/>
    <w:rsid w:val="00DA1AD8"/>
    <w:rsid w:val="00DA3D9D"/>
    <w:rsid w:val="00DA5256"/>
    <w:rsid w:val="00DA687D"/>
    <w:rsid w:val="00DA7AA6"/>
    <w:rsid w:val="00DB002B"/>
    <w:rsid w:val="00DB1391"/>
    <w:rsid w:val="00DB15F3"/>
    <w:rsid w:val="00DB20F2"/>
    <w:rsid w:val="00DB3AE5"/>
    <w:rsid w:val="00DB4BEA"/>
    <w:rsid w:val="00DB4CB8"/>
    <w:rsid w:val="00DB6598"/>
    <w:rsid w:val="00DB6FC8"/>
    <w:rsid w:val="00DC1558"/>
    <w:rsid w:val="00DC23FE"/>
    <w:rsid w:val="00DC5D4F"/>
    <w:rsid w:val="00DC6F19"/>
    <w:rsid w:val="00DC7472"/>
    <w:rsid w:val="00DC7B3B"/>
    <w:rsid w:val="00DD05D0"/>
    <w:rsid w:val="00DD0A65"/>
    <w:rsid w:val="00DD6175"/>
    <w:rsid w:val="00DE4986"/>
    <w:rsid w:val="00DF27D8"/>
    <w:rsid w:val="00DF3230"/>
    <w:rsid w:val="00DF4802"/>
    <w:rsid w:val="00DF4ED0"/>
    <w:rsid w:val="00DF6033"/>
    <w:rsid w:val="00DF6ADF"/>
    <w:rsid w:val="00DF78E0"/>
    <w:rsid w:val="00DF7D1F"/>
    <w:rsid w:val="00E00026"/>
    <w:rsid w:val="00E0076D"/>
    <w:rsid w:val="00E0641C"/>
    <w:rsid w:val="00E10282"/>
    <w:rsid w:val="00E10BAC"/>
    <w:rsid w:val="00E15744"/>
    <w:rsid w:val="00E1580A"/>
    <w:rsid w:val="00E1648B"/>
    <w:rsid w:val="00E21B24"/>
    <w:rsid w:val="00E21E71"/>
    <w:rsid w:val="00E22F56"/>
    <w:rsid w:val="00E26FF1"/>
    <w:rsid w:val="00E31914"/>
    <w:rsid w:val="00E32B54"/>
    <w:rsid w:val="00E32D28"/>
    <w:rsid w:val="00E337AE"/>
    <w:rsid w:val="00E356F3"/>
    <w:rsid w:val="00E37CEE"/>
    <w:rsid w:val="00E42A68"/>
    <w:rsid w:val="00E42F1A"/>
    <w:rsid w:val="00E43F24"/>
    <w:rsid w:val="00E50D01"/>
    <w:rsid w:val="00E52A75"/>
    <w:rsid w:val="00E53C83"/>
    <w:rsid w:val="00E605AA"/>
    <w:rsid w:val="00E61AFA"/>
    <w:rsid w:val="00E62B29"/>
    <w:rsid w:val="00E62C6A"/>
    <w:rsid w:val="00E6329A"/>
    <w:rsid w:val="00E64571"/>
    <w:rsid w:val="00E64E8E"/>
    <w:rsid w:val="00E65EA5"/>
    <w:rsid w:val="00E66C13"/>
    <w:rsid w:val="00E66F11"/>
    <w:rsid w:val="00E70C36"/>
    <w:rsid w:val="00E71688"/>
    <w:rsid w:val="00E727DB"/>
    <w:rsid w:val="00E73D4A"/>
    <w:rsid w:val="00E741A7"/>
    <w:rsid w:val="00E762C8"/>
    <w:rsid w:val="00E87C4E"/>
    <w:rsid w:val="00E908F5"/>
    <w:rsid w:val="00E91780"/>
    <w:rsid w:val="00E924BC"/>
    <w:rsid w:val="00E92600"/>
    <w:rsid w:val="00E92B53"/>
    <w:rsid w:val="00E92DE7"/>
    <w:rsid w:val="00E92EEF"/>
    <w:rsid w:val="00E93776"/>
    <w:rsid w:val="00E962EC"/>
    <w:rsid w:val="00E96337"/>
    <w:rsid w:val="00EA10BC"/>
    <w:rsid w:val="00EA50BA"/>
    <w:rsid w:val="00EA55A1"/>
    <w:rsid w:val="00EA7366"/>
    <w:rsid w:val="00EA7455"/>
    <w:rsid w:val="00EB032A"/>
    <w:rsid w:val="00EB4EF5"/>
    <w:rsid w:val="00EB56EC"/>
    <w:rsid w:val="00EC06AE"/>
    <w:rsid w:val="00EC11C8"/>
    <w:rsid w:val="00EC1C20"/>
    <w:rsid w:val="00EC1CA7"/>
    <w:rsid w:val="00EC22CF"/>
    <w:rsid w:val="00EC2F6A"/>
    <w:rsid w:val="00EC4156"/>
    <w:rsid w:val="00EC6008"/>
    <w:rsid w:val="00EC64DC"/>
    <w:rsid w:val="00ED1143"/>
    <w:rsid w:val="00ED2478"/>
    <w:rsid w:val="00ED262D"/>
    <w:rsid w:val="00ED2F12"/>
    <w:rsid w:val="00ED4865"/>
    <w:rsid w:val="00ED602D"/>
    <w:rsid w:val="00ED6F52"/>
    <w:rsid w:val="00EE1195"/>
    <w:rsid w:val="00EE2274"/>
    <w:rsid w:val="00EE454C"/>
    <w:rsid w:val="00EE4928"/>
    <w:rsid w:val="00EE53A8"/>
    <w:rsid w:val="00EE5BE4"/>
    <w:rsid w:val="00EF003D"/>
    <w:rsid w:val="00EF053B"/>
    <w:rsid w:val="00EF3B8A"/>
    <w:rsid w:val="00F0104B"/>
    <w:rsid w:val="00F025A8"/>
    <w:rsid w:val="00F02655"/>
    <w:rsid w:val="00F0310A"/>
    <w:rsid w:val="00F033F4"/>
    <w:rsid w:val="00F03458"/>
    <w:rsid w:val="00F04AE3"/>
    <w:rsid w:val="00F07387"/>
    <w:rsid w:val="00F109EB"/>
    <w:rsid w:val="00F111B8"/>
    <w:rsid w:val="00F12BC9"/>
    <w:rsid w:val="00F13D2C"/>
    <w:rsid w:val="00F15BDD"/>
    <w:rsid w:val="00F167FA"/>
    <w:rsid w:val="00F170D7"/>
    <w:rsid w:val="00F20511"/>
    <w:rsid w:val="00F215B3"/>
    <w:rsid w:val="00F226FC"/>
    <w:rsid w:val="00F2480C"/>
    <w:rsid w:val="00F266B5"/>
    <w:rsid w:val="00F26911"/>
    <w:rsid w:val="00F30CD3"/>
    <w:rsid w:val="00F32C25"/>
    <w:rsid w:val="00F33C84"/>
    <w:rsid w:val="00F42367"/>
    <w:rsid w:val="00F42D76"/>
    <w:rsid w:val="00F4517D"/>
    <w:rsid w:val="00F52DF4"/>
    <w:rsid w:val="00F532EC"/>
    <w:rsid w:val="00F552B9"/>
    <w:rsid w:val="00F555A3"/>
    <w:rsid w:val="00F568C5"/>
    <w:rsid w:val="00F60B14"/>
    <w:rsid w:val="00F61315"/>
    <w:rsid w:val="00F61C41"/>
    <w:rsid w:val="00F61C87"/>
    <w:rsid w:val="00F624FF"/>
    <w:rsid w:val="00F64294"/>
    <w:rsid w:val="00F65054"/>
    <w:rsid w:val="00F6524B"/>
    <w:rsid w:val="00F657C2"/>
    <w:rsid w:val="00F662FC"/>
    <w:rsid w:val="00F67470"/>
    <w:rsid w:val="00F7150E"/>
    <w:rsid w:val="00F7329D"/>
    <w:rsid w:val="00F7368C"/>
    <w:rsid w:val="00F73BCE"/>
    <w:rsid w:val="00F7429B"/>
    <w:rsid w:val="00F759A7"/>
    <w:rsid w:val="00F806C1"/>
    <w:rsid w:val="00F80C21"/>
    <w:rsid w:val="00F8171E"/>
    <w:rsid w:val="00F84322"/>
    <w:rsid w:val="00F84B7F"/>
    <w:rsid w:val="00F84C3F"/>
    <w:rsid w:val="00F87712"/>
    <w:rsid w:val="00F91D40"/>
    <w:rsid w:val="00F97D2A"/>
    <w:rsid w:val="00FA019C"/>
    <w:rsid w:val="00FA06C4"/>
    <w:rsid w:val="00FA1F01"/>
    <w:rsid w:val="00FA34A5"/>
    <w:rsid w:val="00FA3BF4"/>
    <w:rsid w:val="00FA662C"/>
    <w:rsid w:val="00FA6764"/>
    <w:rsid w:val="00FA706F"/>
    <w:rsid w:val="00FB0273"/>
    <w:rsid w:val="00FB1100"/>
    <w:rsid w:val="00FB31B6"/>
    <w:rsid w:val="00FB3D7F"/>
    <w:rsid w:val="00FC193D"/>
    <w:rsid w:val="00FC2DDD"/>
    <w:rsid w:val="00FC3862"/>
    <w:rsid w:val="00FC4538"/>
    <w:rsid w:val="00FC6AC6"/>
    <w:rsid w:val="00FD15C6"/>
    <w:rsid w:val="00FD1A76"/>
    <w:rsid w:val="00FD368E"/>
    <w:rsid w:val="00FD3741"/>
    <w:rsid w:val="00FD397B"/>
    <w:rsid w:val="00FD5EE9"/>
    <w:rsid w:val="00FE57CD"/>
    <w:rsid w:val="00FE6849"/>
    <w:rsid w:val="00FF0937"/>
    <w:rsid w:val="00FF1FA0"/>
    <w:rsid w:val="00FF25F7"/>
    <w:rsid w:val="00FF342D"/>
    <w:rsid w:val="00FF39ED"/>
    <w:rsid w:val="00FF4250"/>
    <w:rsid w:val="00FF4BBE"/>
    <w:rsid w:val="00FF5AD1"/>
    <w:rsid w:val="00FF5E32"/>
    <w:rsid w:val="00FF6493"/>
    <w:rsid w:val="00FF7836"/>
    <w:rsid w:val="057FA084"/>
    <w:rsid w:val="37DBA061"/>
    <w:rsid w:val="3F7F48D4"/>
    <w:rsid w:val="4F63B96C"/>
    <w:rsid w:val="5BFFE439"/>
    <w:rsid w:val="5DDE5F55"/>
    <w:rsid w:val="5DEFE935"/>
    <w:rsid w:val="5FFFA24E"/>
    <w:rsid w:val="6657181B"/>
    <w:rsid w:val="6AA7A807"/>
    <w:rsid w:val="7A9E3FAB"/>
    <w:rsid w:val="7CFF6997"/>
    <w:rsid w:val="7DFF7480"/>
    <w:rsid w:val="7FFBA1D1"/>
    <w:rsid w:val="7FFF3855"/>
    <w:rsid w:val="AC5F9610"/>
    <w:rsid w:val="B77E3263"/>
    <w:rsid w:val="DFDE30B5"/>
    <w:rsid w:val="EF9C033C"/>
    <w:rsid w:val="EFBD902A"/>
    <w:rsid w:val="EFFEF0E4"/>
    <w:rsid w:val="F3FBFB21"/>
    <w:rsid w:val="FF7BE9DE"/>
    <w:rsid w:val="FFDF57B1"/>
    <w:rsid w:val="FFF9F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uiPriority w:val="99"/>
    <w:pPr>
      <w:jc w:val="left"/>
    </w:pPr>
  </w:style>
  <w:style w:type="paragraph" w:styleId="3">
    <w:name w:val="Balloon Text"/>
    <w:basedOn w:val="1"/>
    <w:link w:val="21"/>
    <w:semiHidden/>
    <w:unhideWhenUsed/>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qFormat/>
    <w:uiPriority w:val="0"/>
    <w:pPr>
      <w:snapToGrid w:val="0"/>
      <w:jc w:val="left"/>
    </w:pPr>
    <w:rPr>
      <w:rFonts w:asciiTheme="minorHAnsi" w:hAnsiTheme="minorHAnsi" w:eastAsiaTheme="minorEastAsia" w:cstheme="minorBidi"/>
      <w:sz w:val="18"/>
      <w:szCs w:val="18"/>
    </w:rPr>
  </w:style>
  <w:style w:type="paragraph" w:styleId="7">
    <w:name w:val="Normal (Web)"/>
    <w:basedOn w:val="1"/>
    <w:unhideWhenUsed/>
    <w:qFormat/>
    <w:uiPriority w:val="99"/>
    <w:rPr>
      <w:rFonts w:ascii="Times New Roman" w:hAnsi="Times New Roman"/>
      <w:sz w:val="24"/>
      <w:szCs w:val="24"/>
    </w:rPr>
  </w:style>
  <w:style w:type="paragraph" w:styleId="8">
    <w:name w:val="annotation subject"/>
    <w:basedOn w:val="2"/>
    <w:next w:val="2"/>
    <w:link w:val="23"/>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character" w:styleId="13">
    <w:name w:val="annotation reference"/>
    <w:basedOn w:val="11"/>
    <w:semiHidden/>
    <w:unhideWhenUsed/>
    <w:qFormat/>
    <w:uiPriority w:val="99"/>
    <w:rPr>
      <w:sz w:val="21"/>
      <w:szCs w:val="21"/>
    </w:rPr>
  </w:style>
  <w:style w:type="character" w:styleId="14">
    <w:name w:val="footnote reference"/>
    <w:qFormat/>
    <w:uiPriority w:val="0"/>
    <w:rPr>
      <w:vertAlign w:val="superscript"/>
    </w:rPr>
  </w:style>
  <w:style w:type="character" w:customStyle="1" w:styleId="15">
    <w:name w:val="页脚 Char"/>
    <w:link w:val="4"/>
    <w:qFormat/>
    <w:uiPriority w:val="99"/>
    <w:rPr>
      <w:sz w:val="18"/>
      <w:szCs w:val="18"/>
    </w:rPr>
  </w:style>
  <w:style w:type="character" w:customStyle="1" w:styleId="16">
    <w:name w:val="脚注文本 Char"/>
    <w:link w:val="6"/>
    <w:qFormat/>
    <w:uiPriority w:val="0"/>
    <w:rPr>
      <w:sz w:val="18"/>
      <w:szCs w:val="18"/>
    </w:rPr>
  </w:style>
  <w:style w:type="character" w:customStyle="1" w:styleId="17">
    <w:name w:val="页脚 Char1"/>
    <w:basedOn w:val="11"/>
    <w:semiHidden/>
    <w:qFormat/>
    <w:uiPriority w:val="99"/>
    <w:rPr>
      <w:rFonts w:ascii="Calibri" w:hAnsi="Calibri" w:eastAsia="宋体" w:cs="Times New Roman"/>
      <w:sz w:val="18"/>
      <w:szCs w:val="18"/>
    </w:rPr>
  </w:style>
  <w:style w:type="character" w:customStyle="1" w:styleId="18">
    <w:name w:val="脚注文本 Char1"/>
    <w:basedOn w:val="11"/>
    <w:semiHidden/>
    <w:qFormat/>
    <w:uiPriority w:val="99"/>
    <w:rPr>
      <w:rFonts w:ascii="Calibri" w:hAnsi="Calibri" w:eastAsia="宋体" w:cs="Times New Roman"/>
      <w:sz w:val="18"/>
      <w:szCs w:val="18"/>
    </w:rPr>
  </w:style>
  <w:style w:type="character" w:customStyle="1" w:styleId="19">
    <w:name w:val="页眉 Char"/>
    <w:basedOn w:val="11"/>
    <w:link w:val="5"/>
    <w:qFormat/>
    <w:uiPriority w:val="99"/>
    <w:rPr>
      <w:rFonts w:ascii="Calibri" w:hAnsi="Calibri"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1"/>
    <w:link w:val="3"/>
    <w:semiHidden/>
    <w:qFormat/>
    <w:uiPriority w:val="99"/>
    <w:rPr>
      <w:rFonts w:ascii="Calibri" w:hAnsi="Calibri" w:eastAsia="宋体" w:cs="Times New Roman"/>
      <w:sz w:val="18"/>
      <w:szCs w:val="18"/>
    </w:rPr>
  </w:style>
  <w:style w:type="character" w:customStyle="1" w:styleId="22">
    <w:name w:val="批注文字 Char"/>
    <w:basedOn w:val="11"/>
    <w:link w:val="2"/>
    <w:qFormat/>
    <w:uiPriority w:val="99"/>
    <w:rPr>
      <w:rFonts w:ascii="Calibri" w:hAnsi="Calibri" w:eastAsia="宋体" w:cs="Times New Roman"/>
    </w:rPr>
  </w:style>
  <w:style w:type="character" w:customStyle="1" w:styleId="23">
    <w:name w:val="批注主题 Char"/>
    <w:basedOn w:val="22"/>
    <w:link w:val="8"/>
    <w:semiHidden/>
    <w:qFormat/>
    <w:uiPriority w:val="99"/>
    <w:rPr>
      <w:rFonts w:ascii="Calibri" w:hAnsi="Calibri" w:eastAsia="宋体" w:cs="Times New Roman"/>
      <w:b/>
      <w:bCs/>
    </w:rPr>
  </w:style>
  <w:style w:type="table" w:customStyle="1" w:styleId="24">
    <w:name w:val="网格型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da"/>
    <w:qFormat/>
    <w:uiPriority w:val="0"/>
    <w:rPr>
      <w:rFonts w:hint="default" w:ascii="Times New Roman"/>
    </w:rPr>
  </w:style>
  <w:style w:type="paragraph" w:customStyle="1" w:styleId="26">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1148</Words>
  <Characters>6547</Characters>
  <Application>WPS Office_11.8.2.10422_F1E327BC-269C-435d-A152-05C5408002CA</Application>
  <DocSecurity>0</DocSecurity>
  <Lines>54</Lines>
  <Paragraphs>15</Paragraphs>
  <ScaleCrop>false</ScaleCrop>
  <LinksUpToDate>false</LinksUpToDate>
  <CharactersWithSpaces>7680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2020-02-24T04:38:00Z</cp:lastPrinted>
  <dcterms:created xsi:type="dcterms:W3CDTF">2017-05-28T09:13:00Z</dcterms:created>
  <dcterms:modified xsi:type="dcterms:W3CDTF">2023-02-17T10:00:45Z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