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0" w:firstLineChars="0"/>
        <w:jc w:val="center"/>
        <w:rPr>
          <w:rFonts w:eastAsia="方正大标宋简体"/>
          <w:sz w:val="44"/>
          <w:szCs w:val="44"/>
        </w:rPr>
      </w:pPr>
    </w:p>
    <w:p>
      <w:pPr>
        <w:overflowPunct w:val="0"/>
        <w:spacing w:line="600" w:lineRule="exact"/>
        <w:ind w:firstLine="0" w:firstLineChars="0"/>
        <w:jc w:val="center"/>
        <w:outlineLvl w:val="0"/>
        <w:rPr>
          <w:rFonts w:eastAsia="方正大标宋简体"/>
          <w:sz w:val="44"/>
          <w:szCs w:val="44"/>
        </w:rPr>
      </w:pPr>
      <w:r>
        <w:rPr>
          <w:rFonts w:hint="eastAsia" w:eastAsia="方正大标宋简体"/>
          <w:sz w:val="44"/>
          <w:szCs w:val="44"/>
        </w:rPr>
        <w:t>全国中小企业股份转让系统并购重组</w:t>
      </w:r>
    </w:p>
    <w:p>
      <w:pPr>
        <w:overflowPunct w:val="0"/>
        <w:spacing w:line="600" w:lineRule="exact"/>
        <w:ind w:firstLine="0" w:firstLineChars="0"/>
        <w:jc w:val="center"/>
        <w:outlineLvl w:val="0"/>
        <w:rPr>
          <w:rFonts w:eastAsia="方正大标宋简体"/>
          <w:sz w:val="44"/>
          <w:szCs w:val="44"/>
        </w:rPr>
      </w:pPr>
      <w:r>
        <w:rPr>
          <w:rFonts w:hint="eastAsia" w:eastAsia="方正大标宋简体"/>
          <w:sz w:val="44"/>
          <w:szCs w:val="44"/>
        </w:rPr>
        <w:t>业务规则适用指引第</w:t>
      </w:r>
      <w:r>
        <w:rPr>
          <w:rFonts w:eastAsia="方正大标宋简体"/>
          <w:sz w:val="44"/>
          <w:szCs w:val="44"/>
        </w:rPr>
        <w:t>1</w:t>
      </w:r>
      <w:r>
        <w:rPr>
          <w:rFonts w:hint="eastAsia" w:eastAsia="方正大标宋简体"/>
          <w:sz w:val="44"/>
          <w:szCs w:val="44"/>
        </w:rPr>
        <w:t>号</w:t>
      </w:r>
    </w:p>
    <w:p>
      <w:pPr>
        <w:overflowPunct w:val="0"/>
        <w:spacing w:line="600" w:lineRule="exact"/>
        <w:ind w:firstLine="0" w:firstLineChars="0"/>
        <w:jc w:val="center"/>
        <w:outlineLvl w:val="0"/>
        <w:rPr>
          <w:rFonts w:eastAsia="方正大标宋简体"/>
          <w:sz w:val="44"/>
          <w:szCs w:val="44"/>
        </w:rPr>
      </w:pPr>
      <w:r>
        <w:rPr>
          <w:rFonts w:hint="eastAsia" w:ascii="方正大标宋简体" w:eastAsia="方正大标宋简体"/>
          <w:sz w:val="44"/>
          <w:szCs w:val="44"/>
        </w:rPr>
        <w:t>——</w:t>
      </w:r>
      <w:r>
        <w:rPr>
          <w:rFonts w:hint="eastAsia" w:eastAsia="方正大标宋简体"/>
          <w:sz w:val="44"/>
          <w:szCs w:val="44"/>
        </w:rPr>
        <w:t>重大资产重组</w:t>
      </w:r>
    </w:p>
    <w:p>
      <w:pPr>
        <w:overflowPunct w:val="0"/>
        <w:spacing w:line="600" w:lineRule="exact"/>
        <w:ind w:firstLine="0" w:firstLineChars="0"/>
        <w:jc w:val="center"/>
        <w:rPr>
          <w:rFonts w:eastAsia="方正大标宋简体"/>
          <w:sz w:val="44"/>
          <w:szCs w:val="44"/>
        </w:rPr>
      </w:pPr>
    </w:p>
    <w:p>
      <w:pPr>
        <w:adjustRightInd/>
        <w:snapToGrid/>
        <w:spacing w:line="600" w:lineRule="exact"/>
        <w:ind w:firstLine="640"/>
        <w:jc w:val="center"/>
        <w:rPr>
          <w:rFonts w:eastAsia="楷体"/>
          <w:sz w:val="32"/>
          <w:szCs w:val="32"/>
        </w:rPr>
      </w:pPr>
      <w:r>
        <w:rPr>
          <w:rFonts w:hint="eastAsia" w:eastAsia="楷体"/>
          <w:sz w:val="32"/>
          <w:szCs w:val="32"/>
        </w:rPr>
        <w:t>（2021年3月19日发布，2023年2月17日第一次修订）</w:t>
      </w:r>
    </w:p>
    <w:p>
      <w:pPr>
        <w:overflowPunct w:val="0"/>
        <w:spacing w:line="600" w:lineRule="exact"/>
        <w:ind w:firstLine="0" w:firstLineChars="0"/>
        <w:jc w:val="center"/>
        <w:rPr>
          <w:rFonts w:eastAsia="方正大标宋简体"/>
          <w:sz w:val="44"/>
          <w:szCs w:val="44"/>
        </w:rPr>
      </w:pPr>
    </w:p>
    <w:p>
      <w:pPr>
        <w:adjustRightInd/>
        <w:snapToGrid/>
        <w:spacing w:line="600" w:lineRule="exact"/>
        <w:ind w:firstLine="640"/>
        <w:rPr>
          <w:sz w:val="32"/>
          <w:szCs w:val="32"/>
        </w:rPr>
      </w:pPr>
      <w:r>
        <w:rPr>
          <w:sz w:val="32"/>
          <w:szCs w:val="32"/>
        </w:rPr>
        <w:t>为规范挂牌公司重大资产重组行为，根据</w:t>
      </w:r>
      <w:r>
        <w:rPr>
          <w:rFonts w:hint="eastAsia"/>
          <w:sz w:val="32"/>
          <w:szCs w:val="32"/>
        </w:rPr>
        <w:t>《非上市公众公司重大资产重组管理办法》</w:t>
      </w:r>
      <w:r>
        <w:rPr>
          <w:sz w:val="32"/>
          <w:szCs w:val="32"/>
        </w:rPr>
        <w:t>（以下简称《重组办法》）</w:t>
      </w:r>
      <w:r>
        <w:rPr>
          <w:rFonts w:hint="eastAsia"/>
          <w:sz w:val="32"/>
          <w:szCs w:val="32"/>
        </w:rPr>
        <w:t>、</w:t>
      </w:r>
      <w:r>
        <w:rPr>
          <w:sz w:val="32"/>
          <w:szCs w:val="32"/>
        </w:rPr>
        <w:t>《全国中小企业股份转让系统非上市公众公司重大资产重组业务细则》（以下简称《重组业务细则》）等有关规定，制定</w:t>
      </w:r>
      <w:r>
        <w:rPr>
          <w:rFonts w:hint="eastAsia"/>
          <w:sz w:val="32"/>
          <w:szCs w:val="32"/>
        </w:rPr>
        <w:t>本适用指引</w:t>
      </w:r>
      <w:r>
        <w:rPr>
          <w:sz w:val="32"/>
          <w:szCs w:val="32"/>
        </w:rPr>
        <w:t>。</w:t>
      </w:r>
      <w:bookmarkStart w:id="0" w:name="_Toc65745078"/>
    </w:p>
    <w:p>
      <w:pPr>
        <w:adjustRightInd/>
        <w:snapToGrid/>
        <w:spacing w:before="205" w:beforeLines="50" w:after="205" w:afterLines="50" w:line="600" w:lineRule="exact"/>
        <w:ind w:firstLine="640"/>
        <w:outlineLvl w:val="0"/>
        <w:rPr>
          <w:rFonts w:eastAsia="黑体"/>
          <w:sz w:val="32"/>
          <w:szCs w:val="32"/>
        </w:rPr>
      </w:pPr>
      <w:r>
        <w:rPr>
          <w:rFonts w:eastAsia="黑体"/>
          <w:sz w:val="32"/>
          <w:szCs w:val="32"/>
        </w:rPr>
        <w:t>1.</w:t>
      </w:r>
      <w:r>
        <w:rPr>
          <w:rFonts w:hint="eastAsia" w:eastAsia="黑体"/>
          <w:sz w:val="32"/>
          <w:szCs w:val="32"/>
        </w:rPr>
        <w:t>部分交易的</w:t>
      </w:r>
      <w:r>
        <w:rPr>
          <w:rFonts w:eastAsia="黑体"/>
          <w:sz w:val="32"/>
          <w:szCs w:val="32"/>
        </w:rPr>
        <w:t>重大资产重组认定标准</w:t>
      </w:r>
      <w:bookmarkEnd w:id="0"/>
    </w:p>
    <w:p>
      <w:pPr>
        <w:adjustRightInd/>
        <w:snapToGrid/>
        <w:spacing w:line="600" w:lineRule="exact"/>
        <w:ind w:firstLine="640"/>
        <w:outlineLvl w:val="1"/>
        <w:rPr>
          <w:sz w:val="32"/>
          <w:szCs w:val="32"/>
        </w:rPr>
      </w:pPr>
      <w:r>
        <w:rPr>
          <w:rFonts w:hint="eastAsia"/>
          <w:sz w:val="32"/>
          <w:szCs w:val="32"/>
        </w:rPr>
        <w:t>1.1</w:t>
      </w:r>
      <w:r>
        <w:rPr>
          <w:rFonts w:hint="eastAsia"/>
          <w:b/>
          <w:bCs/>
          <w:sz w:val="32"/>
          <w:szCs w:val="32"/>
        </w:rPr>
        <w:t>购买或出售土地、房产及机械设备</w:t>
      </w:r>
    </w:p>
    <w:p>
      <w:pPr>
        <w:adjustRightInd/>
        <w:snapToGrid/>
        <w:spacing w:line="600" w:lineRule="exact"/>
        <w:ind w:firstLine="640"/>
        <w:rPr>
          <w:sz w:val="32"/>
          <w:szCs w:val="32"/>
        </w:rPr>
      </w:pPr>
      <w:r>
        <w:rPr>
          <w:rFonts w:hint="eastAsia"/>
          <w:sz w:val="32"/>
          <w:szCs w:val="32"/>
        </w:rPr>
        <w:t>挂牌公司购买与生产经营相关的土地、房产、机械设备等，充分说明合理性和必要性的，可以视为日常经营活动，不纳入重大资产重组管理；如涉及发行证券的，应遵守全国股转系统的其他相关规定。</w:t>
      </w:r>
    </w:p>
    <w:p>
      <w:pPr>
        <w:adjustRightInd/>
        <w:snapToGrid/>
        <w:spacing w:line="600" w:lineRule="exact"/>
        <w:ind w:firstLine="640"/>
        <w:rPr>
          <w:sz w:val="32"/>
          <w:szCs w:val="32"/>
        </w:rPr>
      </w:pPr>
      <w:r>
        <w:rPr>
          <w:rFonts w:hint="eastAsia"/>
          <w:sz w:val="32"/>
          <w:szCs w:val="32"/>
        </w:rPr>
        <w:t>挂牌公司出售土地、房产、机械设备等，若达到《重组办法》第二条规定的标准，构成重大资产重组。</w:t>
      </w:r>
    </w:p>
    <w:p>
      <w:pPr>
        <w:adjustRightInd/>
        <w:snapToGrid/>
        <w:spacing w:line="600" w:lineRule="exact"/>
        <w:ind w:firstLine="640"/>
        <w:outlineLvl w:val="1"/>
        <w:rPr>
          <w:b/>
          <w:sz w:val="32"/>
          <w:szCs w:val="32"/>
        </w:rPr>
      </w:pPr>
      <w:r>
        <w:rPr>
          <w:sz w:val="32"/>
          <w:szCs w:val="32"/>
        </w:rPr>
        <w:t>1.2</w:t>
      </w:r>
      <w:r>
        <w:rPr>
          <w:b/>
          <w:sz w:val="32"/>
          <w:szCs w:val="32"/>
        </w:rPr>
        <w:t>设立子公司或向子公司增资</w:t>
      </w:r>
    </w:p>
    <w:p>
      <w:pPr>
        <w:pStyle w:val="6"/>
        <w:overflowPunct w:val="0"/>
        <w:spacing w:line="600" w:lineRule="exact"/>
        <w:ind w:firstLine="640" w:firstLineChars="200"/>
        <w:jc w:val="both"/>
        <w:rPr>
          <w:rFonts w:ascii="Times New Roman" w:hAnsi="Times New Roman" w:eastAsia="仿宋"/>
          <w:sz w:val="32"/>
          <w:szCs w:val="32"/>
        </w:rPr>
      </w:pPr>
      <w:r>
        <w:rPr>
          <w:rFonts w:ascii="Times New Roman" w:hAnsi="Times New Roman" w:eastAsia="仿宋"/>
          <w:sz w:val="32"/>
          <w:szCs w:val="32"/>
        </w:rPr>
        <w:t>挂牌公司新设全资子公司或控股子公司、向全资子公司或控股子公司增资，不构成重大资产重组。但挂牌公司新设参股子公司或向参股子公司增资，若达到《重组办法》第二条规定的标准，则构成重大资产重组。</w:t>
      </w:r>
    </w:p>
    <w:p>
      <w:pPr>
        <w:adjustRightInd/>
        <w:snapToGrid/>
        <w:spacing w:before="205" w:beforeLines="50" w:after="205" w:afterLines="50" w:line="600" w:lineRule="exact"/>
        <w:ind w:firstLine="640"/>
        <w:outlineLvl w:val="0"/>
        <w:rPr>
          <w:rFonts w:eastAsia="黑体"/>
          <w:sz w:val="32"/>
          <w:szCs w:val="32"/>
        </w:rPr>
      </w:pPr>
      <w:bookmarkStart w:id="1" w:name="_Toc65745079"/>
      <w:r>
        <w:rPr>
          <w:rFonts w:eastAsia="黑体"/>
          <w:sz w:val="32"/>
          <w:szCs w:val="32"/>
        </w:rPr>
        <w:t>2.重大资产重组标准计算时的财务资料与财务数据</w:t>
      </w:r>
      <w:bookmarkEnd w:id="1"/>
    </w:p>
    <w:p>
      <w:pPr>
        <w:adjustRightInd/>
        <w:snapToGrid/>
        <w:spacing w:line="600" w:lineRule="exact"/>
        <w:ind w:firstLine="640"/>
        <w:outlineLvl w:val="1"/>
        <w:rPr>
          <w:b/>
          <w:sz w:val="32"/>
          <w:szCs w:val="32"/>
        </w:rPr>
      </w:pPr>
      <w:r>
        <w:rPr>
          <w:sz w:val="32"/>
          <w:szCs w:val="32"/>
        </w:rPr>
        <w:t>2.1</w:t>
      </w:r>
      <w:r>
        <w:rPr>
          <w:b/>
          <w:sz w:val="32"/>
          <w:szCs w:val="32"/>
        </w:rPr>
        <w:t>财务资料有效期</w:t>
      </w:r>
    </w:p>
    <w:p>
      <w:pPr>
        <w:spacing w:line="600" w:lineRule="exact"/>
        <w:ind w:firstLine="640"/>
        <w:rPr>
          <w:sz w:val="32"/>
          <w:szCs w:val="32"/>
        </w:rPr>
      </w:pPr>
      <w:r>
        <w:rPr>
          <w:sz w:val="32"/>
          <w:szCs w:val="32"/>
        </w:rPr>
        <w:t>挂牌公司披露的重大资产重组报告书（以下简称重组报告书）中引用的标的资产财务资料有效期应当符合《非上市公众公司信息披露内容与格式准则第6号——重大资产重组报告书》第四条的相关规定，标的资产审计报告应当在相应的财务资料有效期之内披露。对于发行股份购买资产且发行后股东人数超过200人的重大资产重组，挂牌公司在向全国中小企业股份转让系统有限责任公司（以下简称全国股转公司）提交申请文件时，重组报告书中引用的经审计的最近1期财务资料的剩余有效期应当不少于1个月。</w:t>
      </w:r>
    </w:p>
    <w:p>
      <w:pPr>
        <w:spacing w:line="600" w:lineRule="exact"/>
        <w:ind w:firstLine="640"/>
        <w:outlineLvl w:val="1"/>
        <w:rPr>
          <w:b/>
          <w:sz w:val="32"/>
          <w:szCs w:val="32"/>
        </w:rPr>
      </w:pPr>
      <w:r>
        <w:rPr>
          <w:bCs/>
          <w:sz w:val="32"/>
          <w:szCs w:val="32"/>
        </w:rPr>
        <w:t>2.2</w:t>
      </w:r>
      <w:r>
        <w:rPr>
          <w:b/>
          <w:sz w:val="32"/>
          <w:szCs w:val="32"/>
        </w:rPr>
        <w:t>挂牌公司非标准审计意见</w:t>
      </w:r>
    </w:p>
    <w:p>
      <w:pPr>
        <w:spacing w:line="600" w:lineRule="exact"/>
        <w:ind w:firstLine="640"/>
      </w:pPr>
      <w:r>
        <w:rPr>
          <w:sz w:val="32"/>
          <w:szCs w:val="32"/>
        </w:rPr>
        <w:t>原则上，挂牌公司最近一个会计年度财务报告被出具非标准审计意见，造成挂牌公司财务报告被出具非标准审计意见的原因已消除的，相关财务数据可以作为判断重大资产重组的依据。但独立财务顾问应当就审计机构出具非标准审计意见的原因以及该原因是否已消除作出专项说明，并予以披露。</w:t>
      </w:r>
    </w:p>
    <w:p>
      <w:pPr>
        <w:spacing w:line="600" w:lineRule="exact"/>
        <w:ind w:firstLine="640"/>
        <w:outlineLvl w:val="1"/>
        <w:rPr>
          <w:bCs/>
          <w:sz w:val="32"/>
          <w:szCs w:val="32"/>
        </w:rPr>
      </w:pPr>
      <w:r>
        <w:rPr>
          <w:bCs/>
          <w:sz w:val="32"/>
          <w:szCs w:val="32"/>
        </w:rPr>
        <w:t>2.3</w:t>
      </w:r>
      <w:r>
        <w:rPr>
          <w:b/>
          <w:sz w:val="32"/>
          <w:szCs w:val="32"/>
        </w:rPr>
        <w:t>净资产额的认定</w:t>
      </w:r>
    </w:p>
    <w:p>
      <w:pPr>
        <w:spacing w:line="600" w:lineRule="exact"/>
        <w:ind w:firstLine="640"/>
        <w:rPr>
          <w:sz w:val="32"/>
          <w:szCs w:val="32"/>
        </w:rPr>
      </w:pPr>
      <w:r>
        <w:rPr>
          <w:sz w:val="32"/>
          <w:szCs w:val="32"/>
        </w:rPr>
        <w:t>挂牌公司根据《重组办法》第二条、第四十条的规定，计算购买、出售的资产净额占挂牌公司最近一个会计年度经审计的合并财务会计报表期末净资产额的比例时，前述挂牌公司净资产额不应包括少数股东权益。</w:t>
      </w:r>
    </w:p>
    <w:p>
      <w:pPr>
        <w:spacing w:line="600" w:lineRule="exact"/>
        <w:ind w:firstLine="640"/>
        <w:outlineLvl w:val="1"/>
        <w:rPr>
          <w:b/>
          <w:sz w:val="32"/>
          <w:szCs w:val="32"/>
        </w:rPr>
      </w:pPr>
      <w:r>
        <w:rPr>
          <w:bCs/>
          <w:sz w:val="32"/>
          <w:szCs w:val="32"/>
        </w:rPr>
        <w:t>2.4</w:t>
      </w:r>
      <w:r>
        <w:rPr>
          <w:b/>
          <w:sz w:val="32"/>
          <w:szCs w:val="32"/>
        </w:rPr>
        <w:t>连续购买或出售时重大资产重组标准的计算</w:t>
      </w:r>
    </w:p>
    <w:p>
      <w:pPr>
        <w:pStyle w:val="6"/>
        <w:overflowPunct w:val="0"/>
        <w:spacing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仿宋" w:cs="Times New Roman"/>
          <w:sz w:val="32"/>
          <w:szCs w:val="32"/>
        </w:rPr>
        <w:t>挂牌公司在12个月内连续对同一或者相关资产进行购买、出售的，在计算相应指标时，应当以第一次交易时最近一个会计年度挂牌公司经审计的合并财务会计报表期末资产总额、期末净资产额作为分母；在计算分子时，最近一次交易标的资产相关财务数据应当以最近一期经审计的资产总额、资产净额为准。</w:t>
      </w:r>
    </w:p>
    <w:p>
      <w:pPr>
        <w:adjustRightInd/>
        <w:snapToGrid/>
        <w:spacing w:before="205" w:beforeLines="50" w:after="205" w:afterLines="50" w:line="600" w:lineRule="exact"/>
        <w:ind w:firstLine="640"/>
        <w:outlineLvl w:val="0"/>
        <w:rPr>
          <w:rFonts w:eastAsia="黑体"/>
          <w:sz w:val="32"/>
          <w:szCs w:val="32"/>
        </w:rPr>
      </w:pPr>
      <w:bookmarkStart w:id="2" w:name="_Toc65745080"/>
      <w:r>
        <w:rPr>
          <w:rFonts w:eastAsia="黑体"/>
          <w:sz w:val="32"/>
          <w:szCs w:val="32"/>
        </w:rPr>
        <w:t>3.内幕信息知情人报备</w:t>
      </w:r>
      <w:bookmarkEnd w:id="2"/>
    </w:p>
    <w:p>
      <w:pPr>
        <w:pStyle w:val="6"/>
        <w:overflowPunct w:val="0"/>
        <w:spacing w:line="600" w:lineRule="exact"/>
        <w:ind w:firstLine="640" w:firstLineChars="200"/>
        <w:jc w:val="both"/>
        <w:rPr>
          <w:rFonts w:ascii="Times New Roman" w:hAnsi="Times New Roman" w:eastAsia="方正仿宋简体" w:cs="Times New Roman"/>
          <w:sz w:val="32"/>
          <w:szCs w:val="32"/>
        </w:rPr>
      </w:pPr>
      <w:r>
        <w:rPr>
          <w:rFonts w:ascii="Times New Roman" w:hAnsi="Times New Roman" w:eastAsia="方正仿宋简体" w:cs="Times New Roman"/>
          <w:sz w:val="32"/>
          <w:szCs w:val="32"/>
        </w:rPr>
        <w:t>挂牌公司及交易对方的所有董事、监事、高级管理人员及其直系亲属，无论是否知情，均应当纳入重大资产重组内幕信息知情人的报备范围。</w:t>
      </w:r>
    </w:p>
    <w:p>
      <w:pPr>
        <w:pStyle w:val="6"/>
        <w:overflowPunct w:val="0"/>
        <w:spacing w:line="600" w:lineRule="exact"/>
        <w:ind w:firstLine="640" w:firstLineChars="200"/>
        <w:jc w:val="both"/>
        <w:rPr>
          <w:rFonts w:ascii="Times New Roman" w:hAnsi="Times New Roman" w:eastAsia="方正仿宋简体" w:cs="Times New Roman"/>
        </w:rPr>
      </w:pPr>
      <w:r>
        <w:rPr>
          <w:rFonts w:ascii="Times New Roman" w:hAnsi="Times New Roman" w:eastAsia="方正仿宋简体" w:cs="Times New Roman"/>
          <w:sz w:val="32"/>
          <w:szCs w:val="32"/>
        </w:rPr>
        <w:t>挂牌公司因重大资产重组事项申请股票停牌后，无论是否继续推进重大资产重组事项，均需要进行内幕信息知情人报备。</w:t>
      </w:r>
    </w:p>
    <w:p>
      <w:pPr>
        <w:adjustRightInd/>
        <w:snapToGrid/>
        <w:spacing w:before="205" w:beforeLines="50" w:after="205" w:afterLines="50" w:line="600" w:lineRule="exact"/>
        <w:ind w:firstLine="640"/>
        <w:outlineLvl w:val="0"/>
        <w:rPr>
          <w:rFonts w:eastAsia="黑体"/>
          <w:sz w:val="32"/>
          <w:szCs w:val="32"/>
        </w:rPr>
      </w:pPr>
      <w:bookmarkStart w:id="3" w:name="_Toc65745081"/>
      <w:r>
        <w:rPr>
          <w:rFonts w:eastAsia="黑体"/>
          <w:sz w:val="32"/>
          <w:szCs w:val="32"/>
        </w:rPr>
        <w:t>4.停牌日前证券异常交易的处理</w:t>
      </w:r>
      <w:bookmarkEnd w:id="3"/>
    </w:p>
    <w:p>
      <w:pPr>
        <w:spacing w:line="600" w:lineRule="exact"/>
        <w:ind w:firstLine="640"/>
        <w:rPr>
          <w:sz w:val="32"/>
          <w:szCs w:val="32"/>
        </w:rPr>
      </w:pPr>
      <w:r>
        <w:rPr>
          <w:rFonts w:hint="eastAsia"/>
          <w:sz w:val="32"/>
          <w:szCs w:val="32"/>
        </w:rPr>
        <w:t>根据《重组业务细则》第十五条的规定，全国股转公司对挂牌公司重大资产重组停牌日前6个月的证券交易情况进行核查。发现异常交易情况的，全国股转公司将告知挂牌公司，由挂牌公司书面答复，并根据不同情形分情况处理：</w:t>
      </w:r>
    </w:p>
    <w:p>
      <w:pPr>
        <w:spacing w:line="600" w:lineRule="exact"/>
        <w:ind w:firstLine="640"/>
        <w:outlineLvl w:val="1"/>
      </w:pPr>
      <w:r>
        <w:rPr>
          <w:sz w:val="32"/>
          <w:szCs w:val="32"/>
        </w:rPr>
        <w:t>（1）拟继续推进重大资产重组进程</w:t>
      </w:r>
      <w:r>
        <w:rPr>
          <w:sz w:val="32"/>
          <w:szCs w:val="32"/>
        </w:rPr>
        <w:tab/>
      </w:r>
    </w:p>
    <w:p>
      <w:pPr>
        <w:spacing w:line="600" w:lineRule="exact"/>
        <w:ind w:firstLine="640"/>
        <w:rPr>
          <w:sz w:val="32"/>
          <w:szCs w:val="32"/>
        </w:rPr>
      </w:pPr>
      <w:r>
        <w:rPr>
          <w:sz w:val="32"/>
          <w:szCs w:val="32"/>
        </w:rPr>
        <w:t>挂牌公司拟继续推进重大资产重组进程的，需单独披露《关于XXXX公司与重大资产重组相关证券异常交易情况的说明》，对证券异常交易是否属于内幕交易及判断的理由进行说明，并同时对挂牌公司重大资产重组事项可能因内幕交易被中国证券监督管理委员会（以下简称中国证监会）或司法机关立案查处而暂停或终止的风险进行单独揭示。</w:t>
      </w:r>
    </w:p>
    <w:p>
      <w:pPr>
        <w:spacing w:line="600" w:lineRule="exact"/>
        <w:ind w:firstLine="640"/>
        <w:rPr>
          <w:sz w:val="32"/>
          <w:szCs w:val="32"/>
        </w:rPr>
      </w:pPr>
      <w:r>
        <w:rPr>
          <w:sz w:val="32"/>
          <w:szCs w:val="32"/>
        </w:rPr>
        <w:t>挂牌公司聘请的独立财务顾问及律师应当对证券异常交易是否属于内幕交易发表核查意见并公开披露，同时应对挂牌公司重大资产重组事项可能存在因内幕交易被中国证监会或司法机关立案查处而暂停或终止的风险进行单独揭示。</w:t>
      </w:r>
    </w:p>
    <w:p>
      <w:pPr>
        <w:spacing w:line="600" w:lineRule="exact"/>
        <w:ind w:firstLine="640"/>
        <w:rPr>
          <w:sz w:val="32"/>
          <w:szCs w:val="32"/>
        </w:rPr>
      </w:pPr>
      <w:r>
        <w:rPr>
          <w:sz w:val="32"/>
          <w:szCs w:val="32"/>
        </w:rPr>
        <w:t>挂牌公司聘请的独立财务顾问或律师无法发表意见，或认为存在内幕交易且不符合恢复重大资产重组进程要求的，挂牌公司应当终止本次重大资产重组。</w:t>
      </w:r>
    </w:p>
    <w:p>
      <w:pPr>
        <w:tabs>
          <w:tab w:val="left" w:pos="5868"/>
        </w:tabs>
        <w:spacing w:line="600" w:lineRule="exact"/>
        <w:ind w:firstLine="640"/>
        <w:outlineLvl w:val="1"/>
        <w:rPr>
          <w:b/>
        </w:rPr>
      </w:pPr>
      <w:r>
        <w:rPr>
          <w:sz w:val="32"/>
          <w:szCs w:val="32"/>
        </w:rPr>
        <w:t>（2）暂停重大资产重组进程</w:t>
      </w:r>
    </w:p>
    <w:p>
      <w:pPr>
        <w:spacing w:line="600" w:lineRule="exact"/>
        <w:ind w:firstLine="640"/>
        <w:rPr>
          <w:sz w:val="32"/>
          <w:szCs w:val="32"/>
        </w:rPr>
      </w:pPr>
      <w:r>
        <w:rPr>
          <w:sz w:val="32"/>
          <w:szCs w:val="32"/>
        </w:rPr>
        <w:t>挂牌公司因与挂牌公司重大资产重组相关证券异常交易被中国证监会或司法机关立案的，应暂停重大资产重组进程，并披露被相关机构立案的临时公告，挂牌公司聘请的独立财务顾问应当同时发布风险提示公告。</w:t>
      </w:r>
    </w:p>
    <w:p>
      <w:pPr>
        <w:spacing w:line="600" w:lineRule="exact"/>
        <w:ind w:firstLine="640"/>
        <w:rPr>
          <w:sz w:val="32"/>
          <w:szCs w:val="32"/>
        </w:rPr>
      </w:pPr>
      <w:r>
        <w:rPr>
          <w:sz w:val="32"/>
          <w:szCs w:val="32"/>
        </w:rPr>
        <w:t>挂牌公司因被中国证监会或司法机关立案暂停重大资产重组进程的，在影响重大资产重组审查的情形消除后可以申请恢复重大资产重组进程。</w:t>
      </w:r>
    </w:p>
    <w:p>
      <w:pPr>
        <w:spacing w:line="600" w:lineRule="exact"/>
        <w:ind w:firstLine="640"/>
        <w:rPr>
          <w:sz w:val="32"/>
          <w:szCs w:val="32"/>
        </w:rPr>
      </w:pPr>
      <w:r>
        <w:rPr>
          <w:rFonts w:hint="eastAsia"/>
          <w:sz w:val="32"/>
          <w:szCs w:val="32"/>
        </w:rPr>
        <w:t>关于影响重大资产重组审查的情形消除的标准，参照中国证监会《上市公司监管指引第7号——上市公司重大资产重组相关股票异常交易监管》。</w:t>
      </w:r>
    </w:p>
    <w:p>
      <w:pPr>
        <w:tabs>
          <w:tab w:val="left" w:pos="5868"/>
        </w:tabs>
        <w:spacing w:line="600" w:lineRule="exact"/>
        <w:ind w:firstLine="640"/>
        <w:outlineLvl w:val="1"/>
        <w:rPr>
          <w:b/>
        </w:rPr>
      </w:pPr>
      <w:r>
        <w:rPr>
          <w:sz w:val="32"/>
          <w:szCs w:val="32"/>
        </w:rPr>
        <w:t>（3）终止重大资产重组进程</w:t>
      </w:r>
    </w:p>
    <w:p>
      <w:pPr>
        <w:spacing w:line="600" w:lineRule="exact"/>
        <w:ind w:firstLine="640"/>
        <w:rPr>
          <w:sz w:val="32"/>
          <w:szCs w:val="32"/>
        </w:rPr>
      </w:pPr>
      <w:r>
        <w:rPr>
          <w:sz w:val="32"/>
          <w:szCs w:val="32"/>
        </w:rPr>
        <w:t>挂牌公司因自愿选择终止重大资产重组、独立财务顾问或律师对异常交易无法发表意见或认为存在内幕交易且不符合恢复重大资产重组进程要求等原因终止本次重大资产重组的，挂牌公司应当召开董事会审议终止重大资产重组的相关事项，并及时发布终止重大资产重组公告，披露本次重大资产重组的基本情况及终止原因，挂牌公司证券同时申请复牌。重组方案已经股东大会审议通过的，还应召开股东大会审议终止重大资产重组的相关事项。</w:t>
      </w:r>
    </w:p>
    <w:p>
      <w:pPr>
        <w:spacing w:line="600" w:lineRule="exact"/>
        <w:ind w:firstLine="640"/>
        <w:rPr>
          <w:sz w:val="32"/>
          <w:szCs w:val="32"/>
        </w:rPr>
      </w:pPr>
      <w:r>
        <w:rPr>
          <w:sz w:val="32"/>
          <w:szCs w:val="32"/>
        </w:rPr>
        <w:t>挂牌公司被中国证监会要求终止本次重大资产重组的，挂牌公司应当及时发布终止重大资产重组公告，披露本次重大资产重组的基本情况及终止原因，挂牌公司证券同时申请复牌。</w:t>
      </w:r>
    </w:p>
    <w:p>
      <w:pPr>
        <w:adjustRightInd/>
        <w:snapToGrid/>
        <w:spacing w:before="205" w:beforeLines="50" w:after="205" w:afterLines="50" w:line="600" w:lineRule="exact"/>
        <w:ind w:firstLine="640"/>
        <w:outlineLvl w:val="0"/>
        <w:rPr>
          <w:rFonts w:eastAsia="黑体"/>
          <w:sz w:val="32"/>
          <w:szCs w:val="32"/>
        </w:rPr>
      </w:pPr>
      <w:bookmarkStart w:id="4" w:name="_Toc65745082"/>
      <w:r>
        <w:rPr>
          <w:rFonts w:eastAsia="黑体"/>
          <w:sz w:val="32"/>
          <w:szCs w:val="32"/>
        </w:rPr>
        <w:t>5.重组方案重大调整认定标准</w:t>
      </w:r>
      <w:bookmarkEnd w:id="4"/>
    </w:p>
    <w:p>
      <w:pPr>
        <w:spacing w:line="600" w:lineRule="exact"/>
        <w:ind w:firstLine="640"/>
        <w:outlineLvl w:val="1"/>
        <w:rPr>
          <w:rFonts w:eastAsia="黑体"/>
          <w:bCs/>
          <w:sz w:val="32"/>
          <w:szCs w:val="32"/>
        </w:rPr>
      </w:pPr>
      <w:r>
        <w:rPr>
          <w:rFonts w:eastAsia="黑体"/>
          <w:bCs/>
          <w:sz w:val="32"/>
          <w:szCs w:val="32"/>
        </w:rPr>
        <w:t>5.1</w:t>
      </w:r>
      <w:r>
        <w:rPr>
          <w:b/>
          <w:sz w:val="32"/>
          <w:szCs w:val="32"/>
        </w:rPr>
        <w:t>变更交易对象</w:t>
      </w:r>
    </w:p>
    <w:p>
      <w:pPr>
        <w:adjustRightInd/>
        <w:snapToGrid/>
        <w:spacing w:line="600" w:lineRule="exact"/>
        <w:ind w:firstLine="640"/>
        <w:rPr>
          <w:sz w:val="32"/>
          <w:szCs w:val="32"/>
        </w:rPr>
      </w:pPr>
      <w:r>
        <w:rPr>
          <w:sz w:val="32"/>
          <w:szCs w:val="32"/>
        </w:rPr>
        <w:t>增加交易对象的，应当视为构成重组方案重大调整；减少交易对象，交易各方同意将该交易对象及其持有的标的资产份额剔除出重组方案，且剔除后按照下述</w:t>
      </w:r>
      <w:r>
        <w:rPr>
          <w:rFonts w:hint="eastAsia"/>
          <w:sz w:val="32"/>
          <w:szCs w:val="32"/>
        </w:rPr>
        <w:t>“5</w:t>
      </w:r>
      <w:r>
        <w:rPr>
          <w:sz w:val="32"/>
          <w:szCs w:val="32"/>
        </w:rPr>
        <w:t>.2变更交易标的</w:t>
      </w:r>
      <w:r>
        <w:rPr>
          <w:rFonts w:hint="eastAsia"/>
          <w:sz w:val="32"/>
          <w:szCs w:val="32"/>
        </w:rPr>
        <w:t>”</w:t>
      </w:r>
      <w:r>
        <w:rPr>
          <w:sz w:val="32"/>
          <w:szCs w:val="32"/>
        </w:rPr>
        <w:t>的规定未构成交易标的重大调整的，可以视为不构成重组方案重大调整。对于调整交易对象所持标的资产份额的情形，如交易各方同意交易对象之间转让标的资产份额，且转让份额的作价不超过标的资产总交易作价20%的，可以视为不构成重组方案重大调整。</w:t>
      </w:r>
    </w:p>
    <w:p>
      <w:pPr>
        <w:spacing w:line="600" w:lineRule="exact"/>
        <w:ind w:firstLine="640"/>
        <w:outlineLvl w:val="1"/>
        <w:rPr>
          <w:b/>
          <w:sz w:val="32"/>
          <w:szCs w:val="32"/>
        </w:rPr>
      </w:pPr>
      <w:r>
        <w:rPr>
          <w:rFonts w:eastAsia="黑体"/>
          <w:bCs/>
          <w:sz w:val="32"/>
          <w:szCs w:val="32"/>
        </w:rPr>
        <w:t>5.2</w:t>
      </w:r>
      <w:r>
        <w:rPr>
          <w:b/>
          <w:sz w:val="32"/>
          <w:szCs w:val="32"/>
        </w:rPr>
        <w:t>变更交易标的</w:t>
      </w:r>
    </w:p>
    <w:p>
      <w:pPr>
        <w:adjustRightInd/>
        <w:snapToGrid/>
        <w:spacing w:line="600" w:lineRule="exact"/>
        <w:ind w:firstLine="640"/>
        <w:rPr>
          <w:sz w:val="32"/>
          <w:szCs w:val="32"/>
        </w:rPr>
      </w:pPr>
      <w:r>
        <w:rPr>
          <w:sz w:val="32"/>
          <w:szCs w:val="32"/>
        </w:rPr>
        <w:t>如同时满足以下两个条件，可以视为不构成重组方案重大调整：一是拟增加或减少的交易标的的交易作价、资产总额、资产净额占原标的资产相应指标总量的比例均不超过20%；二是变更标的资产对交易标的的生产经营不构成实质性影响，包括不影响交易标的的资产及业务完整性等。</w:t>
      </w:r>
    </w:p>
    <w:p>
      <w:pPr>
        <w:spacing w:line="600" w:lineRule="exact"/>
        <w:ind w:firstLine="640"/>
        <w:outlineLvl w:val="1"/>
        <w:rPr>
          <w:b/>
          <w:sz w:val="32"/>
          <w:szCs w:val="32"/>
        </w:rPr>
      </w:pPr>
      <w:r>
        <w:rPr>
          <w:rFonts w:eastAsia="黑体"/>
          <w:bCs/>
          <w:sz w:val="32"/>
          <w:szCs w:val="32"/>
        </w:rPr>
        <w:t>5.3</w:t>
      </w:r>
      <w:r>
        <w:rPr>
          <w:b/>
          <w:sz w:val="32"/>
          <w:szCs w:val="32"/>
        </w:rPr>
        <w:t>变更交易价格</w:t>
      </w:r>
    </w:p>
    <w:p>
      <w:pPr>
        <w:adjustRightInd/>
        <w:snapToGrid/>
        <w:spacing w:line="600" w:lineRule="exact"/>
        <w:ind w:firstLine="640"/>
        <w:rPr>
          <w:sz w:val="32"/>
          <w:szCs w:val="32"/>
        </w:rPr>
      </w:pPr>
      <w:r>
        <w:rPr>
          <w:sz w:val="32"/>
          <w:szCs w:val="32"/>
        </w:rPr>
        <w:t>如同时满足以下两个条件，可以视为不构成重组方案重大调整：一是交易价格调整幅度不超过20%；二是交易价格的调整具有充分、合理的客观理由，独立财务顾问应当对交易价格调整的合理性出具专项意见。</w:t>
      </w:r>
    </w:p>
    <w:p>
      <w:pPr>
        <w:spacing w:line="600" w:lineRule="exact"/>
        <w:ind w:firstLine="640"/>
        <w:outlineLvl w:val="1"/>
        <w:rPr>
          <w:b/>
          <w:sz w:val="32"/>
          <w:szCs w:val="32"/>
        </w:rPr>
      </w:pPr>
      <w:r>
        <w:rPr>
          <w:rFonts w:eastAsia="黑体"/>
          <w:bCs/>
          <w:sz w:val="32"/>
          <w:szCs w:val="32"/>
        </w:rPr>
        <w:t>5.4</w:t>
      </w:r>
      <w:r>
        <w:rPr>
          <w:b/>
          <w:sz w:val="32"/>
          <w:szCs w:val="32"/>
        </w:rPr>
        <w:t>变更支付手段</w:t>
      </w:r>
    </w:p>
    <w:p>
      <w:pPr>
        <w:adjustRightInd/>
        <w:snapToGrid/>
        <w:spacing w:line="600" w:lineRule="exact"/>
        <w:ind w:firstLine="640"/>
        <w:rPr>
          <w:sz w:val="32"/>
          <w:szCs w:val="32"/>
        </w:rPr>
      </w:pPr>
      <w:r>
        <w:rPr>
          <w:sz w:val="32"/>
          <w:szCs w:val="32"/>
        </w:rPr>
        <w:t>变更支付手段应当视为重组方案重大调整。</w:t>
      </w:r>
    </w:p>
    <w:p>
      <w:pPr>
        <w:spacing w:line="600" w:lineRule="exact"/>
        <w:ind w:firstLine="640"/>
        <w:outlineLvl w:val="1"/>
        <w:rPr>
          <w:b/>
          <w:sz w:val="32"/>
          <w:szCs w:val="32"/>
        </w:rPr>
      </w:pPr>
      <w:r>
        <w:rPr>
          <w:rFonts w:eastAsia="黑体"/>
          <w:bCs/>
          <w:sz w:val="32"/>
          <w:szCs w:val="32"/>
        </w:rPr>
        <w:t>5.5</w:t>
      </w:r>
      <w:r>
        <w:rPr>
          <w:b/>
          <w:sz w:val="32"/>
          <w:szCs w:val="32"/>
        </w:rPr>
        <w:t>变更配套募集资金</w:t>
      </w:r>
    </w:p>
    <w:p>
      <w:pPr>
        <w:adjustRightInd/>
        <w:snapToGrid/>
        <w:spacing w:line="600" w:lineRule="exact"/>
        <w:ind w:firstLine="640"/>
        <w:rPr>
          <w:sz w:val="32"/>
          <w:szCs w:val="32"/>
        </w:rPr>
      </w:pPr>
      <w:r>
        <w:rPr>
          <w:sz w:val="32"/>
          <w:szCs w:val="32"/>
        </w:rPr>
        <w:t>调减或取消配套募集资金、调增配套募集资金的比例不超过原募资规模20%的，不构成重组方案重大调整；新增配套募集资金或调增配套募集资金的比例超过原募资规模20%的，应当视为重组方案重大调整。</w:t>
      </w:r>
    </w:p>
    <w:p>
      <w:pPr>
        <w:adjustRightInd/>
        <w:snapToGrid/>
        <w:spacing w:before="205" w:beforeLines="50" w:after="205" w:afterLines="50" w:line="600" w:lineRule="exact"/>
        <w:ind w:firstLine="640"/>
        <w:outlineLvl w:val="0"/>
        <w:rPr>
          <w:rFonts w:eastAsia="黑体"/>
          <w:sz w:val="32"/>
          <w:szCs w:val="32"/>
        </w:rPr>
      </w:pPr>
      <w:bookmarkStart w:id="5" w:name="_Toc65745083"/>
      <w:r>
        <w:rPr>
          <w:rFonts w:eastAsia="黑体"/>
          <w:sz w:val="32"/>
          <w:szCs w:val="32"/>
        </w:rPr>
        <w:t>6.重组方案实施完毕认定标准</w:t>
      </w:r>
      <w:bookmarkEnd w:id="5"/>
    </w:p>
    <w:p>
      <w:pPr>
        <w:spacing w:line="600" w:lineRule="exact"/>
        <w:ind w:firstLine="640"/>
        <w:rPr>
          <w:sz w:val="32"/>
          <w:szCs w:val="32"/>
          <w:highlight w:val="yellow"/>
        </w:rPr>
      </w:pPr>
      <w:r>
        <w:rPr>
          <w:sz w:val="32"/>
          <w:szCs w:val="32"/>
        </w:rPr>
        <w:t>对于购买资产构成重大资产重组的情形，如涉及挂牌公司发行股份，</w:t>
      </w:r>
      <w:r>
        <w:rPr>
          <w:rFonts w:hint="eastAsia"/>
          <w:sz w:val="32"/>
          <w:szCs w:val="32"/>
        </w:rPr>
        <w:t>“</w:t>
      </w:r>
      <w:r>
        <w:rPr>
          <w:sz w:val="32"/>
          <w:szCs w:val="32"/>
        </w:rPr>
        <w:t>实施完毕</w:t>
      </w:r>
      <w:r>
        <w:rPr>
          <w:rFonts w:hint="eastAsia"/>
          <w:sz w:val="32"/>
          <w:szCs w:val="32"/>
        </w:rPr>
        <w:t>”</w:t>
      </w:r>
      <w:r>
        <w:rPr>
          <w:sz w:val="32"/>
          <w:szCs w:val="32"/>
        </w:rPr>
        <w:t>以挂牌公司披露新增股份在全国股转系统挂牌并公开转让的公告为准；如不涉及挂牌公司发行股份，</w:t>
      </w:r>
      <w:r>
        <w:rPr>
          <w:rFonts w:hint="eastAsia"/>
          <w:sz w:val="32"/>
          <w:szCs w:val="32"/>
        </w:rPr>
        <w:t>“</w:t>
      </w:r>
      <w:r>
        <w:rPr>
          <w:sz w:val="32"/>
          <w:szCs w:val="32"/>
        </w:rPr>
        <w:t>实施完毕</w:t>
      </w:r>
      <w:r>
        <w:rPr>
          <w:rFonts w:hint="eastAsia"/>
          <w:sz w:val="32"/>
          <w:szCs w:val="32"/>
        </w:rPr>
        <w:t>”</w:t>
      </w:r>
      <w:r>
        <w:rPr>
          <w:sz w:val="32"/>
          <w:szCs w:val="32"/>
        </w:rPr>
        <w:t>以标的资产完成过户为准。</w:t>
      </w:r>
    </w:p>
    <w:p>
      <w:pPr>
        <w:spacing w:line="600" w:lineRule="exact"/>
        <w:ind w:firstLine="640"/>
        <w:rPr>
          <w:sz w:val="32"/>
          <w:szCs w:val="32"/>
        </w:rPr>
      </w:pPr>
      <w:r>
        <w:rPr>
          <w:sz w:val="32"/>
          <w:szCs w:val="32"/>
        </w:rPr>
        <w:t>对于出售资产构成重大资产重组的情形，</w:t>
      </w:r>
      <w:r>
        <w:rPr>
          <w:rFonts w:hint="eastAsia"/>
          <w:sz w:val="32"/>
          <w:szCs w:val="32"/>
        </w:rPr>
        <w:t>“</w:t>
      </w:r>
      <w:r>
        <w:rPr>
          <w:sz w:val="32"/>
          <w:szCs w:val="32"/>
        </w:rPr>
        <w:t>实施完毕</w:t>
      </w:r>
      <w:r>
        <w:rPr>
          <w:rFonts w:hint="eastAsia"/>
          <w:sz w:val="32"/>
          <w:szCs w:val="32"/>
        </w:rPr>
        <w:t>”</w:t>
      </w:r>
      <w:r>
        <w:rPr>
          <w:sz w:val="32"/>
          <w:szCs w:val="32"/>
        </w:rPr>
        <w:t>以标的资产过户完毕且交易对价支付完毕为准。</w:t>
      </w:r>
    </w:p>
    <w:p>
      <w:pPr>
        <w:adjustRightInd/>
        <w:snapToGrid/>
        <w:spacing w:before="205" w:beforeLines="50" w:after="205" w:afterLines="50" w:line="600" w:lineRule="exact"/>
        <w:ind w:firstLine="640"/>
        <w:outlineLvl w:val="0"/>
        <w:rPr>
          <w:rFonts w:eastAsia="黑体"/>
          <w:sz w:val="32"/>
          <w:szCs w:val="32"/>
        </w:rPr>
      </w:pPr>
      <w:bookmarkStart w:id="6" w:name="_Toc65745084"/>
      <w:r>
        <w:rPr>
          <w:rFonts w:eastAsia="黑体"/>
          <w:sz w:val="32"/>
          <w:szCs w:val="32"/>
        </w:rPr>
        <w:t>7.200人计算标准</w:t>
      </w:r>
      <w:bookmarkEnd w:id="6"/>
    </w:p>
    <w:p>
      <w:pPr>
        <w:adjustRightInd/>
        <w:snapToGrid/>
        <w:spacing w:line="600" w:lineRule="exact"/>
        <w:ind w:firstLine="640"/>
        <w:rPr>
          <w:sz w:val="32"/>
          <w:szCs w:val="32"/>
        </w:rPr>
      </w:pPr>
      <w:r>
        <w:rPr>
          <w:sz w:val="32"/>
          <w:szCs w:val="32"/>
        </w:rPr>
        <w:t>涉及发行股份购买资产的重大资产重组中，重组方案及配套募集资金方案中确定或预计的新增股东人数（或新增股东人数上限）与审议重大资产重组事项的股东大会规定的股权登记日在册股东人数之和不超过200人的（含200人）</w:t>
      </w:r>
      <w:r>
        <w:rPr>
          <w:rFonts w:hint="eastAsia"/>
          <w:sz w:val="32"/>
          <w:szCs w:val="32"/>
        </w:rPr>
        <w:t>，</w:t>
      </w:r>
      <w:r>
        <w:rPr>
          <w:sz w:val="32"/>
          <w:szCs w:val="32"/>
        </w:rPr>
        <w:t>视为重大资产重组完成后挂牌公司股东人数不超过200人。</w:t>
      </w:r>
    </w:p>
    <w:p>
      <w:pPr>
        <w:adjustRightInd/>
        <w:snapToGrid/>
        <w:spacing w:line="600" w:lineRule="exact"/>
        <w:ind w:firstLine="640"/>
        <w:rPr>
          <w:sz w:val="32"/>
          <w:szCs w:val="32"/>
        </w:rPr>
      </w:pPr>
      <w:r>
        <w:rPr>
          <w:sz w:val="32"/>
          <w:szCs w:val="32"/>
        </w:rPr>
        <w:t>计算前款股东人数时，在中国证券登记结算有限责任公司登记的普通股、优先股以及可转换公司债券持有人数合并计算。</w:t>
      </w:r>
    </w:p>
    <w:p>
      <w:pPr>
        <w:adjustRightInd/>
        <w:snapToGrid/>
        <w:spacing w:before="205" w:beforeLines="50" w:after="205" w:afterLines="50" w:line="600" w:lineRule="exact"/>
        <w:ind w:firstLine="640"/>
        <w:outlineLvl w:val="0"/>
        <w:rPr>
          <w:rFonts w:eastAsia="黑体"/>
          <w:sz w:val="32"/>
          <w:szCs w:val="32"/>
        </w:rPr>
      </w:pPr>
      <w:bookmarkStart w:id="7" w:name="_Toc65745085"/>
      <w:r>
        <w:rPr>
          <w:rFonts w:eastAsia="黑体"/>
          <w:sz w:val="32"/>
          <w:szCs w:val="32"/>
        </w:rPr>
        <w:t>8.与前次重大资产重组、证券发行程序的衔接</w:t>
      </w:r>
      <w:bookmarkEnd w:id="7"/>
    </w:p>
    <w:p>
      <w:pPr>
        <w:spacing w:line="600" w:lineRule="exact"/>
        <w:ind w:firstLine="640"/>
        <w:rPr>
          <w:sz w:val="32"/>
          <w:szCs w:val="32"/>
        </w:rPr>
      </w:pPr>
      <w:r>
        <w:rPr>
          <w:sz w:val="32"/>
          <w:szCs w:val="32"/>
        </w:rPr>
        <w:t>挂牌公司如存在尚未完成的重大资产重组事项，在前次重大资产重组实施完毕并披露实施情况报告书前，不得筹划新的重大资产重组事项，也不得因重大资产重组申请停牌。除发行股份购买资产构成重大资产重组并募集配套资金的情况外，在重大资产重组实施完毕并披露实施情况报告书前，挂牌公司不得启动证券发行。</w:t>
      </w:r>
    </w:p>
    <w:p>
      <w:pPr>
        <w:spacing w:line="600" w:lineRule="exact"/>
        <w:ind w:firstLine="640"/>
        <w:rPr>
          <w:sz w:val="32"/>
          <w:szCs w:val="32"/>
        </w:rPr>
      </w:pPr>
      <w:r>
        <w:rPr>
          <w:sz w:val="32"/>
          <w:szCs w:val="32"/>
        </w:rPr>
        <w:t>挂牌公司如存在尚未完成的证券发行，在前次证券发行完成新增证券登记前，不得筹划重大资产重组事项，也不得因重大资产重组申请停牌。</w:t>
      </w:r>
    </w:p>
    <w:p>
      <w:pPr>
        <w:adjustRightInd/>
        <w:snapToGrid/>
        <w:spacing w:before="205" w:beforeLines="50" w:after="205" w:afterLines="50" w:line="600" w:lineRule="exact"/>
        <w:ind w:firstLine="640"/>
        <w:outlineLvl w:val="0"/>
        <w:rPr>
          <w:rFonts w:eastAsia="黑体"/>
          <w:sz w:val="32"/>
          <w:szCs w:val="32"/>
        </w:rPr>
      </w:pPr>
      <w:bookmarkStart w:id="8" w:name="_Toc65745086"/>
      <w:r>
        <w:rPr>
          <w:rFonts w:eastAsia="黑体"/>
          <w:sz w:val="32"/>
          <w:szCs w:val="32"/>
        </w:rPr>
        <w:t>9.</w:t>
      </w:r>
      <w:bookmarkStart w:id="9" w:name="_GoBack"/>
      <w:bookmarkEnd w:id="9"/>
      <w:r>
        <w:rPr>
          <w:rFonts w:eastAsia="黑体"/>
          <w:sz w:val="32"/>
          <w:szCs w:val="32"/>
        </w:rPr>
        <w:t>实现利润的计算依据</w:t>
      </w:r>
      <w:bookmarkEnd w:id="8"/>
    </w:p>
    <w:p>
      <w:pPr>
        <w:spacing w:line="600" w:lineRule="exact"/>
        <w:ind w:firstLine="640"/>
        <w:rPr>
          <w:rFonts w:hint="eastAsia"/>
          <w:sz w:val="32"/>
          <w:szCs w:val="32"/>
        </w:rPr>
      </w:pPr>
      <w:r>
        <w:rPr>
          <w:rFonts w:hint="eastAsia"/>
          <w:sz w:val="32"/>
          <w:szCs w:val="32"/>
        </w:rPr>
        <w:t>《重组办法》第三十四条规定的挂牌公司重大资产重组“购买资产实现的利润”，以扣除非经常性损益后归属于母公司股东的净利润为计算依据。</w:t>
      </w:r>
    </w:p>
    <w:p>
      <w:pPr>
        <w:adjustRightInd/>
        <w:snapToGrid/>
        <w:spacing w:before="207" w:beforeLines="50" w:after="207" w:afterLines="50" w:line="600" w:lineRule="exact"/>
        <w:ind w:firstLine="640" w:firstLineChars="200"/>
        <w:outlineLvl w:val="0"/>
        <w:rPr>
          <w:rFonts w:hint="eastAsia" w:eastAsia="黑体"/>
          <w:sz w:val="32"/>
          <w:szCs w:val="32"/>
          <w:lang w:val="en-US" w:eastAsia="zh-CN"/>
        </w:rPr>
      </w:pPr>
      <w:r>
        <w:rPr>
          <w:rFonts w:hint="eastAsia" w:eastAsia="黑体"/>
          <w:sz w:val="32"/>
          <w:szCs w:val="32"/>
          <w:lang w:val="en-US" w:eastAsia="zh-CN"/>
        </w:rPr>
        <w:t>10.具有金融属性的挂牌公司重大资产重组要求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sz w:val="32"/>
          <w:szCs w:val="32"/>
        </w:rPr>
      </w:pPr>
      <w:r>
        <w:rPr>
          <w:rFonts w:hint="eastAsia" w:ascii="仿宋" w:hAnsi="仿宋" w:eastAsia="仿宋" w:cs="仿宋"/>
          <w:bCs/>
          <w:sz w:val="32"/>
          <w:szCs w:val="32"/>
          <w:lang w:eastAsia="zh-CN"/>
        </w:rPr>
        <w:t>除中国人民银行、中国银保监会、中国证监会批准设立并监管的金融机构外，</w:t>
      </w:r>
      <w:r>
        <w:rPr>
          <w:rFonts w:hint="eastAsia" w:ascii="仿宋" w:hAnsi="仿宋" w:eastAsia="仿宋" w:cs="仿宋"/>
          <w:bCs/>
          <w:sz w:val="32"/>
          <w:szCs w:val="32"/>
        </w:rPr>
        <w:t>小额贷款公司、</w:t>
      </w:r>
      <w:r>
        <w:rPr>
          <w:rFonts w:hint="eastAsia" w:ascii="仿宋" w:hAnsi="仿宋" w:eastAsia="仿宋" w:cs="仿宋"/>
          <w:bCs/>
          <w:sz w:val="32"/>
          <w:szCs w:val="32"/>
          <w:lang w:eastAsia="zh-CN"/>
        </w:rPr>
        <w:t>融资担保公司、</w:t>
      </w:r>
      <w:r>
        <w:rPr>
          <w:rFonts w:hint="eastAsia" w:ascii="仿宋" w:hAnsi="仿宋" w:eastAsia="仿宋" w:cs="仿宋"/>
          <w:bCs/>
          <w:sz w:val="32"/>
          <w:szCs w:val="32"/>
        </w:rPr>
        <w:t>融资租赁公司、商业保理公司、典当公司等</w:t>
      </w:r>
      <w:r>
        <w:rPr>
          <w:rFonts w:hint="eastAsia" w:ascii="仿宋" w:hAnsi="仿宋" w:eastAsia="仿宋" w:cs="仿宋"/>
          <w:bCs/>
          <w:sz w:val="32"/>
          <w:szCs w:val="32"/>
          <w:lang w:eastAsia="zh-CN"/>
        </w:rPr>
        <w:t>其他</w:t>
      </w:r>
      <w:r>
        <w:rPr>
          <w:rFonts w:hint="eastAsia" w:ascii="仿宋" w:hAnsi="仿宋" w:eastAsia="仿宋" w:cs="仿宋"/>
          <w:bCs/>
          <w:sz w:val="32"/>
          <w:szCs w:val="32"/>
        </w:rPr>
        <w:t>具有</w:t>
      </w:r>
      <w:r>
        <w:rPr>
          <w:rFonts w:hint="eastAsia" w:ascii="仿宋" w:hAnsi="仿宋" w:eastAsia="仿宋" w:cs="仿宋"/>
          <w:bCs/>
          <w:sz w:val="32"/>
          <w:szCs w:val="32"/>
          <w:highlight w:val="none"/>
        </w:rPr>
        <w:t>金融属性的</w:t>
      </w:r>
      <w:r>
        <w:rPr>
          <w:rFonts w:hint="eastAsia" w:ascii="仿宋" w:hAnsi="仿宋" w:cs="仿宋"/>
          <w:bCs/>
          <w:sz w:val="32"/>
          <w:szCs w:val="32"/>
          <w:highlight w:val="none"/>
          <w:lang w:eastAsia="zh-CN"/>
        </w:rPr>
        <w:t>企业</w:t>
      </w:r>
      <w:r>
        <w:rPr>
          <w:rFonts w:hint="eastAsia" w:ascii="仿宋" w:hAnsi="仿宋" w:eastAsia="仿宋" w:cs="仿宋"/>
          <w:bCs/>
          <w:sz w:val="32"/>
          <w:szCs w:val="32"/>
          <w:lang w:eastAsia="zh-CN"/>
        </w:rPr>
        <w:t>以及</w:t>
      </w:r>
      <w:r>
        <w:rPr>
          <w:rFonts w:hint="eastAsia" w:ascii="仿宋" w:hAnsi="仿宋" w:eastAsia="仿宋" w:cs="仿宋"/>
          <w:bCs/>
          <w:sz w:val="32"/>
          <w:szCs w:val="32"/>
        </w:rPr>
        <w:t>私募基金管理机构</w:t>
      </w:r>
      <w:r>
        <w:rPr>
          <w:rFonts w:hint="eastAsia" w:ascii="仿宋" w:hAnsi="仿宋" w:eastAsia="仿宋" w:cs="仿宋"/>
          <w:bCs/>
          <w:sz w:val="32"/>
          <w:szCs w:val="32"/>
          <w:lang w:eastAsia="zh-CN"/>
        </w:rPr>
        <w:t>，</w:t>
      </w:r>
      <w:r>
        <w:rPr>
          <w:rFonts w:hint="eastAsia" w:ascii="仿宋" w:hAnsi="仿宋" w:eastAsia="仿宋" w:cs="仿宋"/>
          <w:bCs/>
          <w:sz w:val="32"/>
          <w:szCs w:val="32"/>
        </w:rPr>
        <w:t>在相关监管政策明确前，</w:t>
      </w:r>
      <w:r>
        <w:rPr>
          <w:rFonts w:hint="eastAsia" w:ascii="Times New Roman" w:eastAsia="仿宋"/>
          <w:sz w:val="32"/>
          <w:szCs w:val="32"/>
          <w:lang w:val="en-US" w:eastAsia="zh-CN"/>
        </w:rPr>
        <w:t>应当暂停重大资产重组业务</w:t>
      </w:r>
      <w:r>
        <w:rPr>
          <w:rFonts w:hint="eastAsia"/>
          <w:sz w:val="32"/>
          <w:szCs w:val="32"/>
          <w:lang w:val="en-US"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851" w:footer="992" w:gutter="0"/>
      <w:pgNumType w:fmt="numberInDash" w:start="1"/>
      <w:cols w:space="0" w:num="1"/>
      <w:docGrid w:type="lines" w:linePitch="41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0000019F" w:csb1="00000000"/>
  </w:font>
  <w:font w:name="方正书宋_GBK">
    <w:panose1 w:val="02000000000000000000"/>
    <w:charset w:val="86"/>
    <w:family w:val="auto"/>
    <w:pitch w:val="default"/>
    <w:sig w:usb0="00000001" w:usb1="08000000" w:usb2="00000000" w:usb3="00000000" w:csb0="00040000" w:csb1="00000000"/>
  </w:font>
  <w:font w:name="FangSong">
    <w:panose1 w:val="02010609060101010101"/>
    <w:charset w:val="86"/>
    <w:family w:val="swiss"/>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1800" w:firstLine="360"/>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21410922"/>
                          </w:sdtPr>
                          <w:sdtEndPr>
                            <w:rPr>
                              <w:rFonts w:ascii="宋体" w:hAnsi="宋体" w:eastAsia="宋体"/>
                              <w:sz w:val="28"/>
                            </w:rPr>
                          </w:sdtEndPr>
                          <w:sdtContent>
                            <w:p>
                              <w:pPr>
                                <w:pStyle w:val="11"/>
                                <w:ind w:left="1800" w:firstLine="360"/>
                                <w:jc w:val="center"/>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sdtContent>
                        </w:sdt>
                        <w:p>
                          <w:pPr>
                            <w:ind w:firstLine="600"/>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sdt>
                    <w:sdtPr>
                      <w:id w:val="721410922"/>
                    </w:sdtPr>
                    <w:sdtEndPr>
                      <w:rPr>
                        <w:rFonts w:ascii="宋体" w:hAnsi="宋体" w:eastAsia="宋体"/>
                        <w:sz w:val="28"/>
                      </w:rPr>
                    </w:sdtEndPr>
                    <w:sdtContent>
                      <w:p>
                        <w:pPr>
                          <w:pStyle w:val="11"/>
                          <w:ind w:left="1800" w:firstLine="360"/>
                          <w:jc w:val="center"/>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sdtContent>
                  </w:sdt>
                  <w:p>
                    <w:pPr>
                      <w:ind w:firstLine="600"/>
                    </w:pPr>
                  </w:p>
                </w:txbxContent>
              </v:textbox>
            </v:shape>
          </w:pict>
        </mc:Fallback>
      </mc:AlternateContent>
    </w:r>
  </w:p>
  <w:p>
    <w:pPr>
      <w:pStyle w:val="11"/>
      <w:ind w:firstLine="0" w:firstLineChars="0"/>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367710"/>
    </w:sdtPr>
    <w:sdtEndPr>
      <w:rPr>
        <w:rFonts w:asciiTheme="minorEastAsia" w:hAnsiTheme="minorEastAsia" w:eastAsiaTheme="minorEastAsia"/>
        <w:sz w:val="28"/>
        <w:szCs w:val="28"/>
      </w:rPr>
    </w:sdtEndPr>
    <w:sdtContent>
      <w:p>
        <w:pPr>
          <w:pStyle w:val="11"/>
          <w:ind w:firstLine="0" w:firstLineChars="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VerticalSpacing w:val="20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3F"/>
    <w:rsid w:val="00007781"/>
    <w:rsid w:val="0001173B"/>
    <w:rsid w:val="00035882"/>
    <w:rsid w:val="00053CBB"/>
    <w:rsid w:val="0005506A"/>
    <w:rsid w:val="000566FC"/>
    <w:rsid w:val="00070068"/>
    <w:rsid w:val="0007481B"/>
    <w:rsid w:val="00075BA9"/>
    <w:rsid w:val="00075BB4"/>
    <w:rsid w:val="000824E0"/>
    <w:rsid w:val="00087D39"/>
    <w:rsid w:val="000B112E"/>
    <w:rsid w:val="000B2699"/>
    <w:rsid w:val="000B4308"/>
    <w:rsid w:val="000B474D"/>
    <w:rsid w:val="000C24C8"/>
    <w:rsid w:val="000C280B"/>
    <w:rsid w:val="000C5AA8"/>
    <w:rsid w:val="000D7444"/>
    <w:rsid w:val="000D7D1D"/>
    <w:rsid w:val="000E6DAB"/>
    <w:rsid w:val="000F653D"/>
    <w:rsid w:val="000F7DEB"/>
    <w:rsid w:val="00101B61"/>
    <w:rsid w:val="00111007"/>
    <w:rsid w:val="00124CEE"/>
    <w:rsid w:val="0014178D"/>
    <w:rsid w:val="00153524"/>
    <w:rsid w:val="00184521"/>
    <w:rsid w:val="00191911"/>
    <w:rsid w:val="001C1B69"/>
    <w:rsid w:val="001C1D4F"/>
    <w:rsid w:val="001C27FF"/>
    <w:rsid w:val="001D1057"/>
    <w:rsid w:val="001E0C0C"/>
    <w:rsid w:val="001E48A8"/>
    <w:rsid w:val="001F0B43"/>
    <w:rsid w:val="001F1FF0"/>
    <w:rsid w:val="001F4B33"/>
    <w:rsid w:val="00205D0B"/>
    <w:rsid w:val="00206287"/>
    <w:rsid w:val="00211EFA"/>
    <w:rsid w:val="00212D91"/>
    <w:rsid w:val="002319FC"/>
    <w:rsid w:val="00236DCD"/>
    <w:rsid w:val="002520D3"/>
    <w:rsid w:val="002535A5"/>
    <w:rsid w:val="00262646"/>
    <w:rsid w:val="002642F6"/>
    <w:rsid w:val="00283D4C"/>
    <w:rsid w:val="00286058"/>
    <w:rsid w:val="002A77AA"/>
    <w:rsid w:val="002B15AE"/>
    <w:rsid w:val="002C762B"/>
    <w:rsid w:val="002D3081"/>
    <w:rsid w:val="002D37B1"/>
    <w:rsid w:val="002D3BEF"/>
    <w:rsid w:val="002E27E2"/>
    <w:rsid w:val="002F475F"/>
    <w:rsid w:val="00312687"/>
    <w:rsid w:val="00335A3B"/>
    <w:rsid w:val="003508D7"/>
    <w:rsid w:val="003512BB"/>
    <w:rsid w:val="00355052"/>
    <w:rsid w:val="003633E3"/>
    <w:rsid w:val="00384142"/>
    <w:rsid w:val="00386023"/>
    <w:rsid w:val="00390715"/>
    <w:rsid w:val="003A262A"/>
    <w:rsid w:val="003B2FF8"/>
    <w:rsid w:val="003B5F8E"/>
    <w:rsid w:val="003C3F07"/>
    <w:rsid w:val="003D507B"/>
    <w:rsid w:val="003F77BF"/>
    <w:rsid w:val="004035F4"/>
    <w:rsid w:val="00403D38"/>
    <w:rsid w:val="004171C4"/>
    <w:rsid w:val="004244CC"/>
    <w:rsid w:val="0042521E"/>
    <w:rsid w:val="004253E2"/>
    <w:rsid w:val="00431243"/>
    <w:rsid w:val="004371C9"/>
    <w:rsid w:val="0044413E"/>
    <w:rsid w:val="0044797A"/>
    <w:rsid w:val="004527E8"/>
    <w:rsid w:val="00463173"/>
    <w:rsid w:val="0046465B"/>
    <w:rsid w:val="00467AEF"/>
    <w:rsid w:val="004723C7"/>
    <w:rsid w:val="00496F6F"/>
    <w:rsid w:val="004A1286"/>
    <w:rsid w:val="004B0191"/>
    <w:rsid w:val="004B021E"/>
    <w:rsid w:val="004C02F1"/>
    <w:rsid w:val="004D2638"/>
    <w:rsid w:val="004D4C48"/>
    <w:rsid w:val="004E13A2"/>
    <w:rsid w:val="004E3218"/>
    <w:rsid w:val="004E518E"/>
    <w:rsid w:val="004E5960"/>
    <w:rsid w:val="004F0104"/>
    <w:rsid w:val="00503FEC"/>
    <w:rsid w:val="005064BF"/>
    <w:rsid w:val="00520560"/>
    <w:rsid w:val="0054027E"/>
    <w:rsid w:val="005436CA"/>
    <w:rsid w:val="00543994"/>
    <w:rsid w:val="00553865"/>
    <w:rsid w:val="00556CD7"/>
    <w:rsid w:val="00563FAD"/>
    <w:rsid w:val="00566CBB"/>
    <w:rsid w:val="005704DD"/>
    <w:rsid w:val="005769B8"/>
    <w:rsid w:val="00582E33"/>
    <w:rsid w:val="005844DF"/>
    <w:rsid w:val="00585093"/>
    <w:rsid w:val="00587BF9"/>
    <w:rsid w:val="00592C3D"/>
    <w:rsid w:val="005973FC"/>
    <w:rsid w:val="005B00D0"/>
    <w:rsid w:val="005B718E"/>
    <w:rsid w:val="005C22B5"/>
    <w:rsid w:val="005D43B1"/>
    <w:rsid w:val="005D4DB8"/>
    <w:rsid w:val="005E3175"/>
    <w:rsid w:val="005E4CAB"/>
    <w:rsid w:val="005E6B19"/>
    <w:rsid w:val="005F25CF"/>
    <w:rsid w:val="005F27FE"/>
    <w:rsid w:val="005F4F79"/>
    <w:rsid w:val="005F7DD6"/>
    <w:rsid w:val="006073F4"/>
    <w:rsid w:val="00613CC6"/>
    <w:rsid w:val="00626DDF"/>
    <w:rsid w:val="0062750C"/>
    <w:rsid w:val="00634850"/>
    <w:rsid w:val="0064585B"/>
    <w:rsid w:val="00660EF3"/>
    <w:rsid w:val="0066190A"/>
    <w:rsid w:val="00675ECA"/>
    <w:rsid w:val="0069080A"/>
    <w:rsid w:val="006A64B3"/>
    <w:rsid w:val="006B0576"/>
    <w:rsid w:val="006B1D6B"/>
    <w:rsid w:val="006B3A08"/>
    <w:rsid w:val="006B4C4C"/>
    <w:rsid w:val="006B634F"/>
    <w:rsid w:val="006C0E3A"/>
    <w:rsid w:val="006C1CF9"/>
    <w:rsid w:val="006C2112"/>
    <w:rsid w:val="006C36D3"/>
    <w:rsid w:val="006C56DB"/>
    <w:rsid w:val="006C6444"/>
    <w:rsid w:val="006D1979"/>
    <w:rsid w:val="006D6EAC"/>
    <w:rsid w:val="006E3989"/>
    <w:rsid w:val="006E5DE2"/>
    <w:rsid w:val="007065E7"/>
    <w:rsid w:val="00710F6A"/>
    <w:rsid w:val="00714A74"/>
    <w:rsid w:val="007271DD"/>
    <w:rsid w:val="007300BB"/>
    <w:rsid w:val="007309C4"/>
    <w:rsid w:val="00755E09"/>
    <w:rsid w:val="007768D7"/>
    <w:rsid w:val="007871E7"/>
    <w:rsid w:val="007966A5"/>
    <w:rsid w:val="007A328B"/>
    <w:rsid w:val="007A6425"/>
    <w:rsid w:val="007A6922"/>
    <w:rsid w:val="007B29C7"/>
    <w:rsid w:val="007B3938"/>
    <w:rsid w:val="007B52CB"/>
    <w:rsid w:val="007C12F0"/>
    <w:rsid w:val="007C54C9"/>
    <w:rsid w:val="007C5B51"/>
    <w:rsid w:val="007D5042"/>
    <w:rsid w:val="007E4999"/>
    <w:rsid w:val="007E5268"/>
    <w:rsid w:val="007F3F60"/>
    <w:rsid w:val="00813F6F"/>
    <w:rsid w:val="00840EBC"/>
    <w:rsid w:val="00846DB7"/>
    <w:rsid w:val="008673BE"/>
    <w:rsid w:val="008714A2"/>
    <w:rsid w:val="008767CE"/>
    <w:rsid w:val="008827A4"/>
    <w:rsid w:val="00883819"/>
    <w:rsid w:val="0089317A"/>
    <w:rsid w:val="00895231"/>
    <w:rsid w:val="008A1FDD"/>
    <w:rsid w:val="008A213B"/>
    <w:rsid w:val="008B14DF"/>
    <w:rsid w:val="008D4EE6"/>
    <w:rsid w:val="008E2B2C"/>
    <w:rsid w:val="008F194E"/>
    <w:rsid w:val="008F73C3"/>
    <w:rsid w:val="009015AF"/>
    <w:rsid w:val="00903A3F"/>
    <w:rsid w:val="009204ED"/>
    <w:rsid w:val="0092786C"/>
    <w:rsid w:val="0093277F"/>
    <w:rsid w:val="009329E7"/>
    <w:rsid w:val="009443B8"/>
    <w:rsid w:val="009445DF"/>
    <w:rsid w:val="009530AA"/>
    <w:rsid w:val="00976A39"/>
    <w:rsid w:val="009816F1"/>
    <w:rsid w:val="0098574A"/>
    <w:rsid w:val="00990992"/>
    <w:rsid w:val="00990F90"/>
    <w:rsid w:val="009B1F2F"/>
    <w:rsid w:val="009B6026"/>
    <w:rsid w:val="009C54DC"/>
    <w:rsid w:val="009D0D7B"/>
    <w:rsid w:val="009E56B3"/>
    <w:rsid w:val="009E6805"/>
    <w:rsid w:val="009F66DE"/>
    <w:rsid w:val="009F799D"/>
    <w:rsid w:val="009F7F6D"/>
    <w:rsid w:val="00A14BB2"/>
    <w:rsid w:val="00A150DA"/>
    <w:rsid w:val="00A205F6"/>
    <w:rsid w:val="00A21940"/>
    <w:rsid w:val="00A2564D"/>
    <w:rsid w:val="00A302CF"/>
    <w:rsid w:val="00A31CA3"/>
    <w:rsid w:val="00A31CF1"/>
    <w:rsid w:val="00A41B64"/>
    <w:rsid w:val="00A42429"/>
    <w:rsid w:val="00A563C5"/>
    <w:rsid w:val="00A57ED0"/>
    <w:rsid w:val="00A61BDB"/>
    <w:rsid w:val="00A6568C"/>
    <w:rsid w:val="00A904B5"/>
    <w:rsid w:val="00A9312E"/>
    <w:rsid w:val="00A9553F"/>
    <w:rsid w:val="00AA7D89"/>
    <w:rsid w:val="00AB0766"/>
    <w:rsid w:val="00AB3CF9"/>
    <w:rsid w:val="00AB62C9"/>
    <w:rsid w:val="00AC06B7"/>
    <w:rsid w:val="00AC2AF7"/>
    <w:rsid w:val="00AD3AEA"/>
    <w:rsid w:val="00AD3BB7"/>
    <w:rsid w:val="00AE07D9"/>
    <w:rsid w:val="00AE51AB"/>
    <w:rsid w:val="00AE6510"/>
    <w:rsid w:val="00AF4558"/>
    <w:rsid w:val="00AF5FFA"/>
    <w:rsid w:val="00AF6922"/>
    <w:rsid w:val="00B00983"/>
    <w:rsid w:val="00B020CB"/>
    <w:rsid w:val="00B07117"/>
    <w:rsid w:val="00B328D9"/>
    <w:rsid w:val="00B37F14"/>
    <w:rsid w:val="00B63ADB"/>
    <w:rsid w:val="00B63DCD"/>
    <w:rsid w:val="00B64C69"/>
    <w:rsid w:val="00B76400"/>
    <w:rsid w:val="00B810B2"/>
    <w:rsid w:val="00B8369B"/>
    <w:rsid w:val="00B840E1"/>
    <w:rsid w:val="00B8612C"/>
    <w:rsid w:val="00B9771C"/>
    <w:rsid w:val="00BA0110"/>
    <w:rsid w:val="00BA58B9"/>
    <w:rsid w:val="00BB390F"/>
    <w:rsid w:val="00BB3938"/>
    <w:rsid w:val="00BC09A3"/>
    <w:rsid w:val="00BD2602"/>
    <w:rsid w:val="00BD557B"/>
    <w:rsid w:val="00BE5B6B"/>
    <w:rsid w:val="00C0668E"/>
    <w:rsid w:val="00C07582"/>
    <w:rsid w:val="00C234EC"/>
    <w:rsid w:val="00C4543A"/>
    <w:rsid w:val="00C502D4"/>
    <w:rsid w:val="00C52F44"/>
    <w:rsid w:val="00C56CD5"/>
    <w:rsid w:val="00C64410"/>
    <w:rsid w:val="00C74E93"/>
    <w:rsid w:val="00C8069B"/>
    <w:rsid w:val="00C85921"/>
    <w:rsid w:val="00C86E84"/>
    <w:rsid w:val="00C93F09"/>
    <w:rsid w:val="00CA133E"/>
    <w:rsid w:val="00CA257C"/>
    <w:rsid w:val="00CA4293"/>
    <w:rsid w:val="00CB25FB"/>
    <w:rsid w:val="00CB3E38"/>
    <w:rsid w:val="00CC18E0"/>
    <w:rsid w:val="00CC3B01"/>
    <w:rsid w:val="00CC70D2"/>
    <w:rsid w:val="00CD073B"/>
    <w:rsid w:val="00CE666C"/>
    <w:rsid w:val="00D0087C"/>
    <w:rsid w:val="00D05E91"/>
    <w:rsid w:val="00D104EC"/>
    <w:rsid w:val="00D42B08"/>
    <w:rsid w:val="00D52160"/>
    <w:rsid w:val="00D62D59"/>
    <w:rsid w:val="00D6329A"/>
    <w:rsid w:val="00D838C5"/>
    <w:rsid w:val="00D90818"/>
    <w:rsid w:val="00D90A4B"/>
    <w:rsid w:val="00DA192D"/>
    <w:rsid w:val="00DA7172"/>
    <w:rsid w:val="00DB7D44"/>
    <w:rsid w:val="00DC3C6E"/>
    <w:rsid w:val="00DF4429"/>
    <w:rsid w:val="00E007B7"/>
    <w:rsid w:val="00E03A6E"/>
    <w:rsid w:val="00E14550"/>
    <w:rsid w:val="00E14B5A"/>
    <w:rsid w:val="00E1551B"/>
    <w:rsid w:val="00E232F5"/>
    <w:rsid w:val="00E23BF1"/>
    <w:rsid w:val="00E23CA5"/>
    <w:rsid w:val="00E31597"/>
    <w:rsid w:val="00E36788"/>
    <w:rsid w:val="00E52D11"/>
    <w:rsid w:val="00E92602"/>
    <w:rsid w:val="00E9550E"/>
    <w:rsid w:val="00E96605"/>
    <w:rsid w:val="00EA68C8"/>
    <w:rsid w:val="00EA7C90"/>
    <w:rsid w:val="00EB2AD9"/>
    <w:rsid w:val="00EC25C3"/>
    <w:rsid w:val="00ED1216"/>
    <w:rsid w:val="00ED7FFB"/>
    <w:rsid w:val="00EE3DD1"/>
    <w:rsid w:val="00EE7094"/>
    <w:rsid w:val="00EF4254"/>
    <w:rsid w:val="00F1362E"/>
    <w:rsid w:val="00F31E6D"/>
    <w:rsid w:val="00F37D85"/>
    <w:rsid w:val="00F437B5"/>
    <w:rsid w:val="00F5400A"/>
    <w:rsid w:val="00F564A2"/>
    <w:rsid w:val="00F5798F"/>
    <w:rsid w:val="00F651C3"/>
    <w:rsid w:val="00F668CC"/>
    <w:rsid w:val="00F74CDB"/>
    <w:rsid w:val="00F76202"/>
    <w:rsid w:val="00F85756"/>
    <w:rsid w:val="00F87C5C"/>
    <w:rsid w:val="00F9246B"/>
    <w:rsid w:val="00F966ED"/>
    <w:rsid w:val="00FA0BCF"/>
    <w:rsid w:val="00FB16E1"/>
    <w:rsid w:val="00FC27AA"/>
    <w:rsid w:val="00FC49D6"/>
    <w:rsid w:val="00FE3DB8"/>
    <w:rsid w:val="00FE5DCC"/>
    <w:rsid w:val="17DEFFE0"/>
    <w:rsid w:val="1FF7D43C"/>
    <w:rsid w:val="37FD0608"/>
    <w:rsid w:val="37FFD989"/>
    <w:rsid w:val="3E3BEDBB"/>
    <w:rsid w:val="3FF706A4"/>
    <w:rsid w:val="5AE7CB89"/>
    <w:rsid w:val="717F6180"/>
    <w:rsid w:val="75ED5AD9"/>
    <w:rsid w:val="783C7F10"/>
    <w:rsid w:val="7A732F9B"/>
    <w:rsid w:val="7AF73B91"/>
    <w:rsid w:val="7B5FCAD4"/>
    <w:rsid w:val="7BF7C01B"/>
    <w:rsid w:val="7DFCF29C"/>
    <w:rsid w:val="9EF7E838"/>
    <w:rsid w:val="9F5FAF47"/>
    <w:rsid w:val="9FDFC69D"/>
    <w:rsid w:val="C79BA3C5"/>
    <w:rsid w:val="CBDFE7E1"/>
    <w:rsid w:val="D68EE5B8"/>
    <w:rsid w:val="D7BB2DBC"/>
    <w:rsid w:val="D7C3BB63"/>
    <w:rsid w:val="DF76C48D"/>
    <w:rsid w:val="E6F798BC"/>
    <w:rsid w:val="EA2E3197"/>
    <w:rsid w:val="EF6FCF8D"/>
    <w:rsid w:val="EF7B067A"/>
    <w:rsid w:val="F73B20EB"/>
    <w:rsid w:val="F8FF0567"/>
    <w:rsid w:val="FB7FD158"/>
    <w:rsid w:val="FEDF994A"/>
    <w:rsid w:val="FF6DD36F"/>
    <w:rsid w:val="FFAB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560" w:firstLineChars="200"/>
      <w:jc w:val="both"/>
    </w:pPr>
    <w:rPr>
      <w:rFonts w:ascii="Times New Roman" w:hAnsi="Times New Roman" w:eastAsia="仿宋" w:cs="Times New Roman"/>
      <w:kern w:val="2"/>
      <w:sz w:val="30"/>
      <w:szCs w:val="28"/>
      <w:lang w:val="en-US" w:eastAsia="zh-CN" w:bidi="ar-SA"/>
    </w:rPr>
  </w:style>
  <w:style w:type="paragraph" w:styleId="2">
    <w:name w:val="heading 1"/>
    <w:basedOn w:val="1"/>
    <w:next w:val="1"/>
    <w:link w:val="25"/>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tLeast"/>
      <w:outlineLvl w:val="2"/>
    </w:pPr>
    <w:rPr>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adjustRightInd/>
      <w:snapToGrid/>
      <w:spacing w:line="240" w:lineRule="auto"/>
      <w:ind w:left="2520" w:leftChars="1200" w:firstLine="0" w:firstLineChars="0"/>
    </w:pPr>
    <w:rPr>
      <w:rFonts w:asciiTheme="minorHAnsi" w:hAnsiTheme="minorHAnsi" w:eastAsiaTheme="minorEastAsia" w:cstheme="minorBidi"/>
      <w:sz w:val="21"/>
      <w:szCs w:val="22"/>
    </w:rPr>
  </w:style>
  <w:style w:type="paragraph" w:styleId="6">
    <w:name w:val="annotation text"/>
    <w:basedOn w:val="1"/>
    <w:link w:val="32"/>
    <w:unhideWhenUsed/>
    <w:qFormat/>
    <w:uiPriority w:val="99"/>
    <w:pPr>
      <w:adjustRightInd/>
      <w:snapToGrid/>
      <w:spacing w:line="240" w:lineRule="auto"/>
      <w:ind w:firstLine="0" w:firstLineChars="0"/>
      <w:jc w:val="left"/>
    </w:pPr>
    <w:rPr>
      <w:rFonts w:asciiTheme="minorHAnsi" w:hAnsiTheme="minorHAnsi" w:eastAsiaTheme="minorEastAsia" w:cstheme="minorBidi"/>
      <w:sz w:val="21"/>
      <w:szCs w:val="22"/>
    </w:rPr>
  </w:style>
  <w:style w:type="paragraph" w:styleId="7">
    <w:name w:val="toc 5"/>
    <w:basedOn w:val="1"/>
    <w:next w:val="1"/>
    <w:unhideWhenUsed/>
    <w:qFormat/>
    <w:uiPriority w:val="39"/>
    <w:pPr>
      <w:adjustRightInd/>
      <w:snapToGrid/>
      <w:spacing w:line="240" w:lineRule="auto"/>
      <w:ind w:left="1680" w:leftChars="800" w:firstLine="0" w:firstLineChars="0"/>
    </w:pPr>
    <w:rPr>
      <w:rFonts w:asciiTheme="minorHAnsi" w:hAnsiTheme="minorHAnsi" w:eastAsiaTheme="minorEastAsia" w:cstheme="minorBidi"/>
      <w:sz w:val="21"/>
      <w:szCs w:val="22"/>
    </w:rPr>
  </w:style>
  <w:style w:type="paragraph" w:styleId="8">
    <w:name w:val="toc 3"/>
    <w:basedOn w:val="1"/>
    <w:next w:val="1"/>
    <w:unhideWhenUsed/>
    <w:qFormat/>
    <w:uiPriority w:val="39"/>
    <w:pPr>
      <w:widowControl/>
      <w:adjustRightInd/>
      <w:snapToGrid/>
      <w:spacing w:after="100" w:line="259" w:lineRule="auto"/>
      <w:ind w:left="440" w:firstLine="0" w:firstLineChars="0"/>
      <w:jc w:val="left"/>
    </w:pPr>
    <w:rPr>
      <w:rFonts w:asciiTheme="minorHAnsi" w:hAnsiTheme="minorHAnsi" w:eastAsiaTheme="minorEastAsia"/>
      <w:kern w:val="0"/>
      <w:sz w:val="22"/>
      <w:szCs w:val="22"/>
    </w:rPr>
  </w:style>
  <w:style w:type="paragraph" w:styleId="9">
    <w:name w:val="toc 8"/>
    <w:basedOn w:val="1"/>
    <w:next w:val="1"/>
    <w:unhideWhenUsed/>
    <w:qFormat/>
    <w:uiPriority w:val="39"/>
    <w:pPr>
      <w:adjustRightInd/>
      <w:snapToGrid/>
      <w:spacing w:line="240" w:lineRule="auto"/>
      <w:ind w:left="2940" w:leftChars="1400" w:firstLine="0" w:firstLineChars="0"/>
    </w:pPr>
    <w:rPr>
      <w:rFonts w:asciiTheme="minorHAnsi" w:hAnsiTheme="minorHAnsi" w:eastAsiaTheme="minorEastAsia" w:cstheme="minorBidi"/>
      <w:sz w:val="21"/>
      <w:szCs w:val="22"/>
    </w:rPr>
  </w:style>
  <w:style w:type="paragraph" w:styleId="10">
    <w:name w:val="Balloon Text"/>
    <w:basedOn w:val="1"/>
    <w:link w:val="33"/>
    <w:semiHidden/>
    <w:unhideWhenUsed/>
    <w:qFormat/>
    <w:uiPriority w:val="99"/>
    <w:pPr>
      <w:spacing w:line="240" w:lineRule="auto"/>
    </w:pPr>
    <w:rPr>
      <w:sz w:val="18"/>
      <w:szCs w:val="18"/>
    </w:rPr>
  </w:style>
  <w:style w:type="paragraph" w:styleId="11">
    <w:name w:val="footer"/>
    <w:basedOn w:val="1"/>
    <w:link w:val="31"/>
    <w:unhideWhenUsed/>
    <w:qFormat/>
    <w:uiPriority w:val="99"/>
    <w:pPr>
      <w:tabs>
        <w:tab w:val="center" w:pos="4153"/>
        <w:tab w:val="right" w:pos="8306"/>
      </w:tabs>
      <w:spacing w:line="240" w:lineRule="atLeast"/>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adjustRightInd/>
      <w:snapToGrid/>
      <w:spacing w:line="240" w:lineRule="auto"/>
      <w:ind w:left="1260" w:leftChars="600" w:firstLine="0" w:firstLineChars="0"/>
    </w:pPr>
    <w:rPr>
      <w:rFonts w:asciiTheme="minorHAnsi" w:hAnsiTheme="minorHAnsi" w:eastAsiaTheme="minorEastAsia" w:cstheme="minorBidi"/>
      <w:sz w:val="21"/>
      <w:szCs w:val="22"/>
    </w:rPr>
  </w:style>
  <w:style w:type="paragraph" w:styleId="15">
    <w:name w:val="footnote text"/>
    <w:basedOn w:val="1"/>
    <w:link w:val="38"/>
    <w:semiHidden/>
    <w:unhideWhenUsed/>
    <w:qFormat/>
    <w:uiPriority w:val="99"/>
    <w:pPr>
      <w:jc w:val="left"/>
    </w:pPr>
    <w:rPr>
      <w:sz w:val="18"/>
      <w:szCs w:val="18"/>
    </w:rPr>
  </w:style>
  <w:style w:type="paragraph" w:styleId="16">
    <w:name w:val="toc 6"/>
    <w:basedOn w:val="1"/>
    <w:next w:val="1"/>
    <w:unhideWhenUsed/>
    <w:qFormat/>
    <w:uiPriority w:val="39"/>
    <w:pPr>
      <w:adjustRightInd/>
      <w:snapToGrid/>
      <w:spacing w:line="240" w:lineRule="auto"/>
      <w:ind w:left="2100" w:leftChars="1000" w:firstLine="0" w:firstLineChars="0"/>
    </w:pPr>
    <w:rPr>
      <w:rFonts w:asciiTheme="minorHAnsi" w:hAnsiTheme="minorHAnsi" w:eastAsiaTheme="minorEastAsia" w:cstheme="minorBidi"/>
      <w:sz w:val="21"/>
      <w:szCs w:val="22"/>
    </w:rPr>
  </w:style>
  <w:style w:type="paragraph" w:styleId="17">
    <w:name w:val="toc 2"/>
    <w:basedOn w:val="1"/>
    <w:next w:val="1"/>
    <w:unhideWhenUsed/>
    <w:qFormat/>
    <w:uiPriority w:val="39"/>
    <w:pPr>
      <w:tabs>
        <w:tab w:val="right" w:leader="dot" w:pos="8296"/>
      </w:tabs>
      <w:spacing w:line="400" w:lineRule="exact"/>
      <w:ind w:firstLine="0" w:firstLineChars="0"/>
    </w:pPr>
  </w:style>
  <w:style w:type="paragraph" w:styleId="18">
    <w:name w:val="toc 9"/>
    <w:basedOn w:val="1"/>
    <w:next w:val="1"/>
    <w:unhideWhenUsed/>
    <w:qFormat/>
    <w:uiPriority w:val="39"/>
    <w:pPr>
      <w:adjustRightInd/>
      <w:snapToGrid/>
      <w:spacing w:line="240" w:lineRule="auto"/>
      <w:ind w:left="3360" w:leftChars="1600" w:firstLine="0" w:firstLineChars="0"/>
    </w:pPr>
    <w:rPr>
      <w:rFonts w:asciiTheme="minorHAnsi" w:hAnsiTheme="minorHAnsi" w:eastAsiaTheme="minorEastAsia" w:cstheme="minorBidi"/>
      <w:sz w:val="21"/>
      <w:szCs w:val="22"/>
    </w:rPr>
  </w:style>
  <w:style w:type="paragraph" w:styleId="19">
    <w:name w:val="annotation subject"/>
    <w:basedOn w:val="6"/>
    <w:next w:val="6"/>
    <w:link w:val="35"/>
    <w:semiHidden/>
    <w:unhideWhenUsed/>
    <w:qFormat/>
    <w:uiPriority w:val="99"/>
    <w:pPr>
      <w:adjustRightInd w:val="0"/>
      <w:snapToGrid w:val="0"/>
      <w:spacing w:line="560" w:lineRule="exact"/>
      <w:ind w:firstLine="560" w:firstLineChars="200"/>
    </w:pPr>
    <w:rPr>
      <w:rFonts w:ascii="Times New Roman" w:hAnsi="Times New Roman" w:eastAsia="仿宋" w:cs="Times New Roman"/>
      <w:b/>
      <w:bCs/>
      <w:sz w:val="30"/>
      <w:szCs w:val="28"/>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styleId="24">
    <w:name w:val="footnote reference"/>
    <w:basedOn w:val="21"/>
    <w:semiHidden/>
    <w:unhideWhenUsed/>
    <w:qFormat/>
    <w:uiPriority w:val="99"/>
    <w:rPr>
      <w:vertAlign w:val="superscript"/>
    </w:rPr>
  </w:style>
  <w:style w:type="character" w:customStyle="1" w:styleId="25">
    <w:name w:val="标题 1 Char"/>
    <w:basedOn w:val="21"/>
    <w:link w:val="2"/>
    <w:qFormat/>
    <w:uiPriority w:val="9"/>
    <w:rPr>
      <w:rFonts w:ascii="Times New Roman" w:hAnsi="Times New Roman" w:eastAsia="仿宋" w:cs="Times New Roman"/>
      <w:b/>
      <w:bCs/>
      <w:kern w:val="44"/>
      <w:sz w:val="44"/>
      <w:szCs w:val="44"/>
    </w:rPr>
  </w:style>
  <w:style w:type="character" w:customStyle="1" w:styleId="26">
    <w:name w:val="标题 2 Char"/>
    <w:basedOn w:val="21"/>
    <w:link w:val="3"/>
    <w:qFormat/>
    <w:uiPriority w:val="9"/>
    <w:rPr>
      <w:rFonts w:asciiTheme="majorHAnsi" w:hAnsiTheme="majorHAnsi" w:eastAsiaTheme="majorEastAsia" w:cstheme="majorBidi"/>
      <w:b/>
      <w:bCs/>
      <w:sz w:val="32"/>
      <w:szCs w:val="32"/>
    </w:rPr>
  </w:style>
  <w:style w:type="character" w:customStyle="1" w:styleId="27">
    <w:name w:val="标题 3 Char"/>
    <w:basedOn w:val="21"/>
    <w:link w:val="4"/>
    <w:qFormat/>
    <w:uiPriority w:val="9"/>
    <w:rPr>
      <w:rFonts w:ascii="Times New Roman" w:hAnsi="Times New Roman" w:eastAsia="仿宋" w:cs="Times New Roman"/>
      <w:b/>
      <w:bCs/>
      <w:sz w:val="32"/>
      <w:szCs w:val="32"/>
    </w:rPr>
  </w:style>
  <w:style w:type="paragraph" w:styleId="28">
    <w:name w:val="List Paragraph"/>
    <w:basedOn w:val="1"/>
    <w:link w:val="29"/>
    <w:qFormat/>
    <w:uiPriority w:val="34"/>
    <w:pPr>
      <w:ind w:firstLine="420"/>
    </w:pPr>
  </w:style>
  <w:style w:type="character" w:customStyle="1" w:styleId="29">
    <w:name w:val="列出段落 Char"/>
    <w:link w:val="28"/>
    <w:qFormat/>
    <w:uiPriority w:val="34"/>
    <w:rPr>
      <w:rFonts w:ascii="Times New Roman" w:hAnsi="Times New Roman" w:eastAsia="仿宋" w:cs="Times New Roman"/>
      <w:sz w:val="30"/>
      <w:szCs w:val="28"/>
    </w:rPr>
  </w:style>
  <w:style w:type="character" w:customStyle="1" w:styleId="30">
    <w:name w:val="页眉 Char"/>
    <w:basedOn w:val="21"/>
    <w:link w:val="12"/>
    <w:qFormat/>
    <w:uiPriority w:val="99"/>
    <w:rPr>
      <w:rFonts w:ascii="Times New Roman" w:hAnsi="Times New Roman" w:eastAsia="仿宋" w:cs="Times New Roman"/>
      <w:sz w:val="18"/>
      <w:szCs w:val="18"/>
    </w:rPr>
  </w:style>
  <w:style w:type="character" w:customStyle="1" w:styleId="31">
    <w:name w:val="页脚 Char"/>
    <w:basedOn w:val="21"/>
    <w:link w:val="11"/>
    <w:qFormat/>
    <w:uiPriority w:val="99"/>
    <w:rPr>
      <w:rFonts w:ascii="Times New Roman" w:hAnsi="Times New Roman" w:eastAsia="仿宋" w:cs="Times New Roman"/>
      <w:sz w:val="18"/>
      <w:szCs w:val="18"/>
    </w:rPr>
  </w:style>
  <w:style w:type="character" w:customStyle="1" w:styleId="32">
    <w:name w:val="批注文字 Char"/>
    <w:basedOn w:val="21"/>
    <w:link w:val="6"/>
    <w:qFormat/>
    <w:uiPriority w:val="99"/>
  </w:style>
  <w:style w:type="character" w:customStyle="1" w:styleId="33">
    <w:name w:val="批注框文本 Char"/>
    <w:basedOn w:val="21"/>
    <w:link w:val="10"/>
    <w:semiHidden/>
    <w:qFormat/>
    <w:uiPriority w:val="99"/>
    <w:rPr>
      <w:rFonts w:ascii="Times New Roman" w:hAnsi="Times New Roman" w:eastAsia="仿宋" w:cs="Times New Roman"/>
      <w:sz w:val="18"/>
      <w:szCs w:val="18"/>
    </w:rPr>
  </w:style>
  <w:style w:type="paragraph" w:customStyle="1" w:styleId="34">
    <w:name w:val="TOC 标题1"/>
    <w:basedOn w:val="2"/>
    <w:next w:val="1"/>
    <w:unhideWhenUsed/>
    <w:qFormat/>
    <w:uiPriority w:val="39"/>
    <w:pPr>
      <w:widowControl/>
      <w:adjustRightInd/>
      <w:snapToGrid/>
      <w:spacing w:before="240" w:after="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批注主题 Char"/>
    <w:basedOn w:val="32"/>
    <w:link w:val="19"/>
    <w:semiHidden/>
    <w:qFormat/>
    <w:uiPriority w:val="99"/>
    <w:rPr>
      <w:rFonts w:ascii="Times New Roman" w:hAnsi="Times New Roman" w:eastAsia="仿宋" w:cs="Times New Roman"/>
      <w:b/>
      <w:bCs/>
      <w:sz w:val="30"/>
      <w:szCs w:val="28"/>
    </w:rPr>
  </w:style>
  <w:style w:type="character" w:customStyle="1" w:styleId="36">
    <w:name w:val="fontstyle01"/>
    <w:basedOn w:val="21"/>
    <w:qFormat/>
    <w:uiPriority w:val="0"/>
    <w:rPr>
      <w:rFonts w:hint="eastAsia" w:ascii="仿宋" w:hAnsi="仿宋" w:eastAsia="仿宋"/>
      <w:color w:val="000000"/>
      <w:sz w:val="30"/>
      <w:szCs w:val="30"/>
    </w:rPr>
  </w:style>
  <w:style w:type="paragraph" w:customStyle="1" w:styleId="37">
    <w:name w:val="修订1"/>
    <w:hidden/>
    <w:semiHidden/>
    <w:qFormat/>
    <w:uiPriority w:val="99"/>
    <w:rPr>
      <w:rFonts w:ascii="Times New Roman" w:hAnsi="Times New Roman" w:eastAsia="仿宋" w:cs="Times New Roman"/>
      <w:kern w:val="2"/>
      <w:sz w:val="30"/>
      <w:szCs w:val="28"/>
      <w:lang w:val="en-US" w:eastAsia="zh-CN" w:bidi="ar-SA"/>
    </w:rPr>
  </w:style>
  <w:style w:type="character" w:customStyle="1" w:styleId="38">
    <w:name w:val="脚注文本 Char"/>
    <w:basedOn w:val="21"/>
    <w:link w:val="15"/>
    <w:semiHidden/>
    <w:qFormat/>
    <w:uiPriority w:val="99"/>
    <w:rPr>
      <w:rFonts w:ascii="Times New Roman" w:hAnsi="Times New Roman" w:eastAsia="仿宋" w:cs="Times New Roman"/>
      <w:sz w:val="18"/>
      <w:szCs w:val="18"/>
    </w:rPr>
  </w:style>
  <w:style w:type="paragraph" w:customStyle="1" w:styleId="39">
    <w:name w:val="正文0"/>
    <w:basedOn w:val="1"/>
    <w:qFormat/>
    <w:uiPriority w:val="99"/>
    <w:pPr>
      <w:autoSpaceDE w:val="0"/>
      <w:autoSpaceDN w:val="0"/>
      <w:snapToGrid/>
      <w:spacing w:line="241" w:lineRule="atLeast"/>
      <w:ind w:firstLine="367" w:firstLineChars="0"/>
      <w:textAlignment w:val="center"/>
    </w:pPr>
    <w:rPr>
      <w:rFonts w:ascii="方正书宋_GBK" w:eastAsia="方正书宋_GBK" w:cs="方正书宋_GBK" w:hAnsiTheme="minorHAnsi"/>
      <w:color w:val="000000"/>
      <w:kern w:val="0"/>
      <w:sz w:val="18"/>
      <w:szCs w:val="18"/>
      <w:lang w:val="zh-CN"/>
    </w:rPr>
  </w:style>
  <w:style w:type="paragraph" w:customStyle="1" w:styleId="40">
    <w:name w:val="Default"/>
    <w:qFormat/>
    <w:uiPriority w:val="0"/>
    <w:pPr>
      <w:widowControl w:val="0"/>
      <w:autoSpaceDE w:val="0"/>
      <w:autoSpaceDN w:val="0"/>
      <w:adjustRightInd w:val="0"/>
    </w:pPr>
    <w:rPr>
      <w:rFonts w:ascii="FangSong" w:eastAsia="FangSong" w:cs="FangSong"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524</Words>
  <Characters>2990</Characters>
  <Lines>24</Lines>
  <Paragraphs>7</Paragraphs>
  <TotalTime>1</TotalTime>
  <ScaleCrop>false</ScaleCrop>
  <LinksUpToDate>false</LinksUpToDate>
  <CharactersWithSpaces>3507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2021-03-23T09:41:00Z</cp:lastPrinted>
  <dcterms:created xsi:type="dcterms:W3CDTF">2021-03-22T14:06:00Z</dcterms:created>
  <dcterms:modified xsi:type="dcterms:W3CDTF">2023-02-16T20:21:24Z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