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44" w:rsidRDefault="00561A44" w:rsidP="00561A44">
      <w:pPr>
        <w:adjustRightInd w:val="0"/>
        <w:snapToGrid w:val="0"/>
        <w:spacing w:line="600" w:lineRule="exact"/>
        <w:rPr>
          <w:rFonts w:ascii="黑体" w:eastAsia="黑体" w:hAnsi="黑体"/>
          <w:b/>
          <w:kern w:val="0"/>
          <w:sz w:val="44"/>
          <w:szCs w:val="44"/>
        </w:rPr>
      </w:pPr>
      <w:bookmarkStart w:id="0" w:name="_GoBack"/>
      <w:bookmarkStart w:id="1" w:name="_Toc92203443"/>
      <w:bookmarkEnd w:id="0"/>
      <w:r>
        <w:rPr>
          <w:rFonts w:ascii="仿宋_GB2312" w:eastAsia="仿宋_GB2312" w:hint="eastAsia"/>
          <w:b/>
          <w:sz w:val="30"/>
          <w:szCs w:val="30"/>
        </w:rPr>
        <w:t>附件2</w:t>
      </w:r>
    </w:p>
    <w:p w:rsidR="00400C22" w:rsidRPr="00660B7B" w:rsidRDefault="00400C22">
      <w:pPr>
        <w:spacing w:line="560" w:lineRule="exact"/>
        <w:jc w:val="center"/>
        <w:outlineLvl w:val="0"/>
        <w:rPr>
          <w:rFonts w:ascii="黑体" w:eastAsia="黑体" w:hAnsi="黑体"/>
          <w:b/>
          <w:sz w:val="44"/>
          <w:szCs w:val="44"/>
        </w:rPr>
      </w:pPr>
    </w:p>
    <w:p w:rsidR="00400C22" w:rsidRDefault="00D103FC">
      <w:pPr>
        <w:spacing w:line="560" w:lineRule="exact"/>
        <w:jc w:val="center"/>
        <w:outlineLvl w:val="0"/>
        <w:rPr>
          <w:rFonts w:ascii="黑体" w:eastAsia="黑体" w:hAnsi="黑体"/>
          <w:b/>
          <w:sz w:val="44"/>
          <w:szCs w:val="44"/>
        </w:rPr>
      </w:pPr>
      <w:r>
        <w:rPr>
          <w:rFonts w:ascii="黑体" w:eastAsia="黑体" w:hAnsi="黑体" w:hint="eastAsia"/>
          <w:b/>
          <w:sz w:val="44"/>
          <w:szCs w:val="44"/>
        </w:rPr>
        <w:t>《上海证券交易所发行上市审核规则适用指引第</w:t>
      </w:r>
      <w:r w:rsidR="00C80ADA">
        <w:rPr>
          <w:rFonts w:ascii="黑体" w:eastAsia="黑体" w:hAnsi="黑体" w:hint="eastAsia"/>
          <w:b/>
          <w:sz w:val="44"/>
          <w:szCs w:val="44"/>
        </w:rPr>
        <w:t>3</w:t>
      </w:r>
      <w:r>
        <w:rPr>
          <w:rFonts w:ascii="黑体" w:eastAsia="黑体" w:hAnsi="黑体" w:hint="eastAsia"/>
          <w:b/>
          <w:sz w:val="44"/>
          <w:szCs w:val="44"/>
        </w:rPr>
        <w:t>号——现场督导》</w:t>
      </w:r>
      <w:r w:rsidR="0075369F">
        <w:rPr>
          <w:rFonts w:ascii="黑体" w:eastAsia="黑体" w:hAnsi="黑体" w:hint="eastAsia"/>
          <w:b/>
          <w:sz w:val="44"/>
          <w:szCs w:val="44"/>
        </w:rPr>
        <w:t>起草</w:t>
      </w:r>
      <w:r>
        <w:rPr>
          <w:rFonts w:ascii="黑体" w:eastAsia="黑体" w:hAnsi="黑体" w:hint="eastAsia"/>
          <w:b/>
          <w:sz w:val="44"/>
          <w:szCs w:val="44"/>
        </w:rPr>
        <w:t>说明</w:t>
      </w:r>
      <w:bookmarkEnd w:id="1"/>
    </w:p>
    <w:p w:rsidR="00400C22" w:rsidRDefault="00400C22">
      <w:pPr>
        <w:spacing w:line="560" w:lineRule="exact"/>
        <w:ind w:firstLineChars="200" w:firstLine="420"/>
        <w:jc w:val="center"/>
        <w:rPr>
          <w:rStyle w:val="a7"/>
        </w:rPr>
      </w:pPr>
    </w:p>
    <w:p w:rsidR="0075369F" w:rsidRDefault="0075369F">
      <w:pPr>
        <w:snapToGrid w:val="0"/>
        <w:spacing w:line="600" w:lineRule="exact"/>
        <w:ind w:firstLine="600"/>
        <w:rPr>
          <w:rFonts w:ascii="仿宋_GB2312" w:eastAsia="仿宋_GB2312"/>
          <w:sz w:val="30"/>
          <w:szCs w:val="30"/>
        </w:rPr>
      </w:pPr>
      <w:r>
        <w:rPr>
          <w:rFonts w:ascii="仿宋_GB2312" w:eastAsia="仿宋_GB2312" w:hint="eastAsia"/>
          <w:sz w:val="30"/>
          <w:szCs w:val="30"/>
        </w:rPr>
        <w:t>为贯彻落实《关于注册制下督促证券公司从事投行业务归位尽责的指导意见》的监管要求，进一步规范</w:t>
      </w:r>
      <w:r>
        <w:rPr>
          <w:rFonts w:ascii="华文宋体" w:eastAsia="仿宋_GB2312" w:hAnsi="华文宋体" w:hint="eastAsia"/>
          <w:sz w:val="30"/>
          <w:szCs w:val="30"/>
        </w:rPr>
        <w:t>发行上市及重大资产重组行为</w:t>
      </w:r>
      <w:r>
        <w:rPr>
          <w:rFonts w:ascii="仿宋_GB2312" w:eastAsia="仿宋_GB2312" w:hint="eastAsia"/>
          <w:sz w:val="30"/>
          <w:szCs w:val="30"/>
        </w:rPr>
        <w:t>，督促保荐人、独立财务顾问、证券服务机构切实履行对申报项目的核查把关责任，</w:t>
      </w:r>
      <w:r w:rsidRPr="0075369F">
        <w:rPr>
          <w:rFonts w:ascii="仿宋_GB2312" w:eastAsia="仿宋_GB2312" w:hint="eastAsia"/>
          <w:sz w:val="30"/>
          <w:szCs w:val="30"/>
        </w:rPr>
        <w:t>上海证券交易所（以下简称本所）</w:t>
      </w:r>
      <w:r w:rsidRPr="00893D74">
        <w:rPr>
          <w:rFonts w:ascii="仿宋_GB2312" w:eastAsia="仿宋_GB2312"/>
          <w:sz w:val="30"/>
          <w:szCs w:val="30"/>
        </w:rPr>
        <w:t>制定</w:t>
      </w:r>
      <w:r w:rsidRPr="0075369F">
        <w:rPr>
          <w:rFonts w:ascii="仿宋_GB2312" w:eastAsia="仿宋_GB2312"/>
          <w:sz w:val="30"/>
          <w:szCs w:val="30"/>
        </w:rPr>
        <w:t>了</w:t>
      </w:r>
      <w:r w:rsidRPr="0075369F">
        <w:rPr>
          <w:rFonts w:ascii="仿宋_GB2312" w:eastAsia="仿宋_GB2312" w:hint="eastAsia"/>
          <w:sz w:val="30"/>
          <w:szCs w:val="30"/>
        </w:rPr>
        <w:t>《上海证券交易所发行上市审核规则适用指引第3号——现场督导》</w:t>
      </w:r>
      <w:r w:rsidR="0068154B">
        <w:rPr>
          <w:rFonts w:ascii="仿宋_GB2312" w:eastAsia="仿宋_GB2312" w:hint="eastAsia"/>
          <w:sz w:val="30"/>
          <w:szCs w:val="30"/>
        </w:rPr>
        <w:t>（以下简称《指引》）</w:t>
      </w:r>
      <w:r w:rsidRPr="0075369F">
        <w:rPr>
          <w:rFonts w:ascii="仿宋_GB2312" w:eastAsia="仿宋_GB2312" w:hint="eastAsia"/>
          <w:sz w:val="30"/>
          <w:szCs w:val="30"/>
        </w:rPr>
        <w:t>。现将有关情况说明如下：</w:t>
      </w:r>
    </w:p>
    <w:p w:rsidR="00400C22" w:rsidRDefault="00D103FC">
      <w:pPr>
        <w:snapToGrid w:val="0"/>
        <w:spacing w:line="600" w:lineRule="exact"/>
        <w:ind w:firstLine="600"/>
        <w:rPr>
          <w:rFonts w:ascii="黑体" w:eastAsia="黑体" w:hAnsi="黑体"/>
          <w:b/>
          <w:sz w:val="30"/>
          <w:szCs w:val="30"/>
        </w:rPr>
      </w:pPr>
      <w:r>
        <w:rPr>
          <w:rFonts w:ascii="黑体" w:eastAsia="黑体" w:hAnsi="黑体" w:hint="eastAsia"/>
          <w:b/>
          <w:sz w:val="30"/>
          <w:szCs w:val="30"/>
        </w:rPr>
        <w:t>一、</w:t>
      </w:r>
      <w:r w:rsidR="0075369F">
        <w:rPr>
          <w:rFonts w:ascii="黑体" w:eastAsia="黑体" w:hAnsi="黑体" w:hint="eastAsia"/>
          <w:b/>
          <w:sz w:val="30"/>
          <w:szCs w:val="30"/>
        </w:rPr>
        <w:t>起草思路</w:t>
      </w:r>
    </w:p>
    <w:p w:rsidR="006E4765" w:rsidRDefault="0068154B">
      <w:pPr>
        <w:snapToGrid w:val="0"/>
        <w:spacing w:line="600" w:lineRule="exact"/>
        <w:ind w:firstLine="600"/>
        <w:rPr>
          <w:rFonts w:ascii="仿宋_GB2312" w:eastAsia="仿宋_GB2312"/>
          <w:sz w:val="30"/>
          <w:szCs w:val="30"/>
        </w:rPr>
      </w:pPr>
      <w:r>
        <w:rPr>
          <w:rFonts w:ascii="仿宋_GB2312" w:eastAsia="仿宋_GB2312" w:hint="eastAsia"/>
          <w:sz w:val="30"/>
          <w:szCs w:val="30"/>
        </w:rPr>
        <w:t>《指引》整体上沿用了</w:t>
      </w:r>
      <w:r>
        <w:rPr>
          <w:rFonts w:ascii="仿宋_GB2312" w:eastAsia="仿宋_GB2312" w:hAnsi="仿宋_GB2312" w:hint="eastAsia"/>
          <w:sz w:val="30"/>
          <w:szCs w:val="30"/>
        </w:rPr>
        <w:t>《上海证券交易所科创板发行上市审核规则适用指引第</w:t>
      </w:r>
      <w:r>
        <w:rPr>
          <w:rFonts w:ascii="仿宋_GB2312" w:eastAsia="仿宋_GB2312" w:hint="eastAsia"/>
          <w:sz w:val="30"/>
          <w:szCs w:val="30"/>
        </w:rPr>
        <w:t>1</w:t>
      </w:r>
      <w:r>
        <w:rPr>
          <w:rFonts w:ascii="仿宋_GB2312" w:eastAsia="仿宋_GB2312" w:hAnsi="仿宋_GB2312" w:hint="eastAsia"/>
          <w:sz w:val="30"/>
          <w:szCs w:val="30"/>
        </w:rPr>
        <w:t>号</w:t>
      </w:r>
      <w:r>
        <w:rPr>
          <w:rFonts w:ascii="仿宋_GB2312" w:eastAsia="仿宋_GB2312" w:hint="eastAsia"/>
          <w:sz w:val="30"/>
          <w:szCs w:val="30"/>
        </w:rPr>
        <w:t>——</w:t>
      </w:r>
      <w:r>
        <w:rPr>
          <w:rFonts w:ascii="仿宋_GB2312" w:eastAsia="仿宋_GB2312" w:hAnsi="仿宋_GB2312" w:hint="eastAsia"/>
          <w:sz w:val="30"/>
          <w:szCs w:val="30"/>
        </w:rPr>
        <w:t>保荐业务现场督导》的</w:t>
      </w:r>
      <w:r>
        <w:rPr>
          <w:rFonts w:ascii="仿宋_GB2312" w:eastAsia="仿宋_GB2312" w:hint="eastAsia"/>
          <w:sz w:val="30"/>
          <w:szCs w:val="30"/>
        </w:rPr>
        <w:t>体例，在总结前期保荐业务现场督导实践经验的基础上，围绕“以信息披露为核心”的注册制安排，在内容上扩</w:t>
      </w:r>
      <w:r w:rsidR="000B09F5">
        <w:rPr>
          <w:rFonts w:ascii="仿宋_GB2312" w:eastAsia="仿宋_GB2312" w:hint="eastAsia"/>
          <w:sz w:val="30"/>
          <w:szCs w:val="30"/>
        </w:rPr>
        <w:t>大《指引》的适用范围，拓宽现场督导</w:t>
      </w:r>
      <w:r w:rsidR="001F48FB">
        <w:rPr>
          <w:rFonts w:ascii="仿宋_GB2312" w:eastAsia="仿宋_GB2312" w:hint="eastAsia"/>
          <w:sz w:val="30"/>
          <w:szCs w:val="30"/>
        </w:rPr>
        <w:t>的</w:t>
      </w:r>
      <w:r w:rsidR="000B09F5">
        <w:rPr>
          <w:rFonts w:ascii="仿宋_GB2312" w:eastAsia="仿宋_GB2312" w:hint="eastAsia"/>
          <w:sz w:val="30"/>
          <w:szCs w:val="30"/>
        </w:rPr>
        <w:t>启动情形，并明确可以对</w:t>
      </w:r>
      <w:r w:rsidR="000B09F5" w:rsidRPr="000B09F5">
        <w:rPr>
          <w:rFonts w:ascii="仿宋_GB2312" w:eastAsia="仿宋_GB2312" w:hint="eastAsia"/>
          <w:sz w:val="30"/>
          <w:szCs w:val="30"/>
        </w:rPr>
        <w:t>独立财务顾问、证券服务机构实施</w:t>
      </w:r>
      <w:r w:rsidR="000B09F5">
        <w:rPr>
          <w:rFonts w:ascii="仿宋_GB2312" w:eastAsia="仿宋_GB2312" w:hint="eastAsia"/>
          <w:sz w:val="30"/>
          <w:szCs w:val="30"/>
        </w:rPr>
        <w:t>督导</w:t>
      </w:r>
      <w:r>
        <w:rPr>
          <w:rFonts w:ascii="仿宋_GB2312" w:eastAsia="仿宋_GB2312" w:hint="eastAsia"/>
          <w:sz w:val="30"/>
          <w:szCs w:val="30"/>
        </w:rPr>
        <w:t>。同时，</w:t>
      </w:r>
      <w:r w:rsidRPr="000B09F5">
        <w:rPr>
          <w:rFonts w:ascii="仿宋_GB2312" w:eastAsia="仿宋_GB2312" w:hint="eastAsia"/>
          <w:sz w:val="30"/>
          <w:szCs w:val="30"/>
        </w:rPr>
        <w:t>增加督导对象的整改要求</w:t>
      </w:r>
      <w:r w:rsidR="000B09F5">
        <w:rPr>
          <w:rFonts w:ascii="仿宋_GB2312" w:eastAsia="仿宋_GB2312" w:hint="eastAsia"/>
          <w:sz w:val="30"/>
          <w:szCs w:val="30"/>
        </w:rPr>
        <w:t>，进一步</w:t>
      </w:r>
      <w:r w:rsidR="00A5292D">
        <w:rPr>
          <w:rFonts w:ascii="仿宋_GB2312" w:eastAsia="仿宋_GB2312" w:hint="eastAsia"/>
          <w:sz w:val="30"/>
          <w:szCs w:val="30"/>
        </w:rPr>
        <w:t>压严压实</w:t>
      </w:r>
      <w:r w:rsidR="001F48FB">
        <w:rPr>
          <w:rFonts w:ascii="仿宋_GB2312" w:eastAsia="仿宋_GB2312" w:hint="eastAsia"/>
          <w:sz w:val="30"/>
          <w:szCs w:val="30"/>
        </w:rPr>
        <w:t>中介</w:t>
      </w:r>
      <w:r w:rsidR="00A5292D">
        <w:rPr>
          <w:rFonts w:ascii="仿宋_GB2312" w:eastAsia="仿宋_GB2312" w:hint="eastAsia"/>
          <w:sz w:val="30"/>
          <w:szCs w:val="30"/>
        </w:rPr>
        <w:t>机构责任，遏制和打击“一督即撤”行为，更好督促保荐人、独立财务顾问、证券服务机构履职尽责。</w:t>
      </w:r>
    </w:p>
    <w:p w:rsidR="00400C22" w:rsidRDefault="00D103FC">
      <w:pPr>
        <w:snapToGrid w:val="0"/>
        <w:spacing w:line="600" w:lineRule="exact"/>
        <w:ind w:firstLine="600"/>
        <w:rPr>
          <w:rFonts w:ascii="黑体" w:eastAsia="黑体" w:hAnsi="黑体"/>
          <w:b/>
          <w:sz w:val="30"/>
          <w:szCs w:val="30"/>
        </w:rPr>
      </w:pPr>
      <w:r>
        <w:rPr>
          <w:rFonts w:ascii="黑体" w:eastAsia="黑体" w:hAnsi="黑体" w:hint="eastAsia"/>
          <w:b/>
          <w:sz w:val="30"/>
          <w:szCs w:val="30"/>
        </w:rPr>
        <w:t>二、主要修订内容</w:t>
      </w:r>
    </w:p>
    <w:p w:rsidR="00400C22" w:rsidRDefault="00D103FC">
      <w:pPr>
        <w:snapToGrid w:val="0"/>
        <w:spacing w:line="600" w:lineRule="exact"/>
        <w:ind w:firstLine="600"/>
        <w:rPr>
          <w:rFonts w:ascii="仿宋_GB2312" w:eastAsia="仿宋_GB2312"/>
          <w:sz w:val="30"/>
          <w:szCs w:val="30"/>
        </w:rPr>
      </w:pPr>
      <w:r>
        <w:rPr>
          <w:rFonts w:ascii="楷体_GB2312" w:eastAsia="楷体_GB2312" w:hint="eastAsia"/>
          <w:b/>
          <w:sz w:val="30"/>
          <w:szCs w:val="30"/>
        </w:rPr>
        <w:t>一是扩大《指引》的适用范围。</w:t>
      </w:r>
      <w:r w:rsidR="00DC508A" w:rsidRPr="00DC508A">
        <w:rPr>
          <w:rFonts w:ascii="仿宋_GB2312" w:eastAsia="仿宋_GB2312" w:hint="eastAsia"/>
          <w:sz w:val="30"/>
          <w:szCs w:val="30"/>
        </w:rPr>
        <w:t>为适应本所全市场板块实施现场督导的要求，</w:t>
      </w:r>
      <w:r w:rsidR="00A5292D" w:rsidRPr="00DC508A">
        <w:rPr>
          <w:rFonts w:ascii="仿宋_GB2312" w:eastAsia="仿宋_GB2312" w:hint="eastAsia"/>
          <w:sz w:val="30"/>
          <w:szCs w:val="30"/>
        </w:rPr>
        <w:t>将</w:t>
      </w:r>
      <w:r>
        <w:rPr>
          <w:rFonts w:ascii="仿宋_GB2312" w:eastAsia="仿宋_GB2312" w:hint="eastAsia"/>
          <w:sz w:val="30"/>
          <w:szCs w:val="30"/>
        </w:rPr>
        <w:t>《指引》的适用范围</w:t>
      </w:r>
      <w:r w:rsidR="00DC508A" w:rsidRPr="008A079A">
        <w:rPr>
          <w:rFonts w:ascii="仿宋_GB2312" w:eastAsia="仿宋_GB2312" w:hint="eastAsia"/>
          <w:sz w:val="30"/>
          <w:szCs w:val="30"/>
        </w:rPr>
        <w:t>由科创板股票或存托凭</w:t>
      </w:r>
      <w:r w:rsidR="00DC508A" w:rsidRPr="008A079A">
        <w:rPr>
          <w:rFonts w:ascii="仿宋_GB2312" w:eastAsia="仿宋_GB2312" w:hint="eastAsia"/>
          <w:sz w:val="30"/>
          <w:szCs w:val="30"/>
        </w:rPr>
        <w:lastRenderedPageBreak/>
        <w:t>证发行上市审核项目</w:t>
      </w:r>
      <w:r>
        <w:rPr>
          <w:rFonts w:ascii="仿宋_GB2312" w:eastAsia="仿宋_GB2312" w:hint="eastAsia"/>
          <w:sz w:val="30"/>
          <w:szCs w:val="30"/>
        </w:rPr>
        <w:t>扩</w:t>
      </w:r>
      <w:r w:rsidR="00DC508A">
        <w:rPr>
          <w:rFonts w:ascii="仿宋_GB2312" w:eastAsia="仿宋_GB2312" w:hint="eastAsia"/>
          <w:sz w:val="30"/>
          <w:szCs w:val="30"/>
        </w:rPr>
        <w:t>大至本所全市场板块的</w:t>
      </w:r>
      <w:r>
        <w:rPr>
          <w:rFonts w:ascii="仿宋_GB2312" w:eastAsia="仿宋_GB2312" w:hint="eastAsia"/>
          <w:sz w:val="30"/>
          <w:szCs w:val="30"/>
        </w:rPr>
        <w:t>发行上市及重大资产重组</w:t>
      </w:r>
      <w:r w:rsidR="00DC508A">
        <w:rPr>
          <w:rFonts w:ascii="仿宋_GB2312" w:eastAsia="仿宋_GB2312" w:hint="eastAsia"/>
          <w:sz w:val="30"/>
          <w:szCs w:val="30"/>
        </w:rPr>
        <w:t>审核</w:t>
      </w:r>
      <w:r>
        <w:rPr>
          <w:rFonts w:ascii="仿宋_GB2312" w:eastAsia="仿宋_GB2312" w:hint="eastAsia"/>
          <w:sz w:val="30"/>
          <w:szCs w:val="30"/>
        </w:rPr>
        <w:t>项目。</w:t>
      </w:r>
    </w:p>
    <w:p w:rsidR="00A5292D" w:rsidRDefault="00D103FC">
      <w:pPr>
        <w:snapToGrid w:val="0"/>
        <w:spacing w:line="600" w:lineRule="exact"/>
        <w:ind w:firstLine="600"/>
        <w:rPr>
          <w:rFonts w:ascii="楷体_GB2312" w:eastAsia="楷体_GB2312"/>
          <w:b/>
          <w:sz w:val="30"/>
          <w:szCs w:val="30"/>
        </w:rPr>
      </w:pPr>
      <w:r>
        <w:rPr>
          <w:rFonts w:ascii="楷体_GB2312" w:eastAsia="楷体_GB2312" w:hint="eastAsia"/>
          <w:b/>
          <w:sz w:val="30"/>
          <w:szCs w:val="30"/>
        </w:rPr>
        <w:t>二是</w:t>
      </w:r>
      <w:r w:rsidR="00A5292D">
        <w:rPr>
          <w:rFonts w:ascii="楷体_GB2312" w:eastAsia="楷体_GB2312" w:hint="eastAsia"/>
          <w:b/>
          <w:sz w:val="30"/>
          <w:szCs w:val="30"/>
        </w:rPr>
        <w:t>明确现场督导可以对独立财务顾问、证券服务机构实施。</w:t>
      </w:r>
      <w:r w:rsidR="003F1C49" w:rsidRPr="003F1C49">
        <w:rPr>
          <w:rFonts w:ascii="仿宋_GB2312" w:eastAsia="仿宋_GB2312" w:hAnsiTheme="minorEastAsia" w:hint="eastAsia"/>
          <w:sz w:val="30"/>
          <w:szCs w:val="30"/>
        </w:rPr>
        <w:t>为进一步强化中介机构的把关责任，</w:t>
      </w:r>
      <w:r w:rsidR="00A5292D" w:rsidRPr="003F1C49">
        <w:rPr>
          <w:rFonts w:ascii="仿宋_GB2312" w:eastAsia="仿宋_GB2312" w:hAnsiTheme="minorEastAsia" w:hint="eastAsia"/>
          <w:sz w:val="30"/>
          <w:szCs w:val="30"/>
        </w:rPr>
        <w:t>结合</w:t>
      </w:r>
      <w:r w:rsidR="00A5292D">
        <w:rPr>
          <w:rFonts w:ascii="仿宋_GB2312" w:eastAsia="仿宋_GB2312" w:hAnsiTheme="minorEastAsia" w:hint="eastAsia"/>
          <w:sz w:val="30"/>
          <w:szCs w:val="30"/>
        </w:rPr>
        <w:t>科创板股票发行上市审核的实践探索，明确证券服务机构为现场督导的实施对象。基于</w:t>
      </w:r>
      <w:r w:rsidR="003F1C49">
        <w:rPr>
          <w:rFonts w:ascii="仿宋_GB2312" w:eastAsia="仿宋_GB2312" w:hAnsiTheme="minorEastAsia" w:hint="eastAsia"/>
          <w:sz w:val="30"/>
          <w:szCs w:val="30"/>
        </w:rPr>
        <w:t>《指引》</w:t>
      </w:r>
      <w:r w:rsidR="00A5292D">
        <w:rPr>
          <w:rFonts w:ascii="仿宋_GB2312" w:eastAsia="仿宋_GB2312" w:hAnsiTheme="minorEastAsia" w:hint="eastAsia"/>
          <w:sz w:val="30"/>
          <w:szCs w:val="30"/>
        </w:rPr>
        <w:t>适用范围的扩展，同时明确可以对</w:t>
      </w:r>
      <w:r w:rsidR="00A5292D" w:rsidRPr="003F1C49">
        <w:rPr>
          <w:rFonts w:ascii="仿宋_GB2312" w:eastAsia="仿宋_GB2312" w:hAnsiTheme="minorEastAsia" w:hint="eastAsia"/>
          <w:sz w:val="30"/>
          <w:szCs w:val="30"/>
        </w:rPr>
        <w:t>独立财务顾问实施现场督导。</w:t>
      </w:r>
    </w:p>
    <w:p w:rsidR="00400C22" w:rsidRDefault="000B09F5">
      <w:pPr>
        <w:snapToGrid w:val="0"/>
        <w:spacing w:line="600" w:lineRule="exact"/>
        <w:ind w:firstLine="600"/>
        <w:rPr>
          <w:rFonts w:ascii="仿宋_GB2312" w:eastAsia="仿宋_GB2312" w:hAnsi="华文中宋"/>
          <w:sz w:val="30"/>
          <w:szCs w:val="30"/>
        </w:rPr>
      </w:pPr>
      <w:r>
        <w:rPr>
          <w:rFonts w:ascii="楷体_GB2312" w:eastAsia="楷体_GB2312" w:hint="eastAsia"/>
          <w:b/>
          <w:sz w:val="30"/>
          <w:szCs w:val="30"/>
        </w:rPr>
        <w:t>三是</w:t>
      </w:r>
      <w:r w:rsidR="00A5292D">
        <w:rPr>
          <w:rFonts w:ascii="楷体_GB2312" w:eastAsia="楷体_GB2312" w:hint="eastAsia"/>
          <w:b/>
          <w:sz w:val="30"/>
          <w:szCs w:val="30"/>
        </w:rPr>
        <w:t>拓宽</w:t>
      </w:r>
      <w:r w:rsidR="00D103FC">
        <w:rPr>
          <w:rFonts w:ascii="楷体_GB2312" w:eastAsia="楷体_GB2312" w:hint="eastAsia"/>
          <w:b/>
          <w:sz w:val="30"/>
          <w:szCs w:val="30"/>
        </w:rPr>
        <w:t>现场督导的</w:t>
      </w:r>
      <w:r w:rsidR="00A5292D">
        <w:rPr>
          <w:rFonts w:ascii="楷体_GB2312" w:eastAsia="楷体_GB2312" w:hint="eastAsia"/>
          <w:b/>
          <w:sz w:val="30"/>
          <w:szCs w:val="30"/>
        </w:rPr>
        <w:t>启动情形</w:t>
      </w:r>
      <w:r w:rsidR="00D103FC">
        <w:rPr>
          <w:rFonts w:ascii="楷体_GB2312" w:eastAsia="楷体_GB2312" w:hint="eastAsia"/>
          <w:b/>
          <w:sz w:val="30"/>
          <w:szCs w:val="30"/>
        </w:rPr>
        <w:t>。</w:t>
      </w:r>
      <w:r w:rsidR="001F48FB" w:rsidRPr="001F48FB">
        <w:rPr>
          <w:rFonts w:ascii="仿宋_GB2312" w:eastAsia="仿宋_GB2312" w:hAnsi="华文中宋" w:hint="eastAsia"/>
          <w:sz w:val="30"/>
          <w:szCs w:val="30"/>
        </w:rPr>
        <w:t>《指引》</w:t>
      </w:r>
      <w:r w:rsidR="00D103FC">
        <w:rPr>
          <w:rFonts w:ascii="仿宋_GB2312" w:eastAsia="仿宋_GB2312" w:hAnsi="华文中宋" w:hint="eastAsia"/>
          <w:sz w:val="30"/>
          <w:szCs w:val="30"/>
        </w:rPr>
        <w:t>明确现场督导</w:t>
      </w:r>
      <w:r w:rsidR="00746BC2">
        <w:rPr>
          <w:rFonts w:ascii="仿宋_GB2312" w:eastAsia="仿宋_GB2312" w:hAnsi="华文中宋" w:hint="eastAsia"/>
          <w:sz w:val="30"/>
          <w:szCs w:val="30"/>
        </w:rPr>
        <w:t>坚持问题</w:t>
      </w:r>
      <w:r w:rsidR="00D103FC">
        <w:rPr>
          <w:rFonts w:ascii="仿宋_GB2312" w:eastAsia="仿宋_GB2312" w:hAnsi="华文中宋" w:hint="eastAsia"/>
          <w:sz w:val="30"/>
          <w:szCs w:val="30"/>
        </w:rPr>
        <w:t>导向，对于申报项目撤否率高且执业质量评价低的保荐人、独立财务顾问、证券服务机构，将启动对</w:t>
      </w:r>
      <w:r w:rsidR="00746BC2">
        <w:rPr>
          <w:rFonts w:ascii="仿宋_GB2312" w:eastAsia="仿宋_GB2312" w:hAnsi="华文中宋" w:hint="eastAsia"/>
          <w:sz w:val="30"/>
          <w:szCs w:val="30"/>
        </w:rPr>
        <w:t>上述对象</w:t>
      </w:r>
      <w:r w:rsidR="00D103FC">
        <w:rPr>
          <w:rFonts w:ascii="仿宋_GB2312" w:eastAsia="仿宋_GB2312" w:hAnsi="华文中宋" w:hint="eastAsia"/>
          <w:sz w:val="30"/>
          <w:szCs w:val="30"/>
        </w:rPr>
        <w:t>的现场督导。</w:t>
      </w:r>
    </w:p>
    <w:p w:rsidR="00400C22" w:rsidRDefault="00D103FC">
      <w:pPr>
        <w:snapToGrid w:val="0"/>
        <w:spacing w:line="600" w:lineRule="exact"/>
        <w:ind w:firstLine="600"/>
        <w:rPr>
          <w:rFonts w:ascii="仿宋_GB2312" w:eastAsia="仿宋_GB2312" w:hAnsiTheme="minorEastAsia"/>
          <w:sz w:val="30"/>
          <w:szCs w:val="30"/>
        </w:rPr>
      </w:pPr>
      <w:r>
        <w:rPr>
          <w:rFonts w:ascii="楷体_GB2312" w:eastAsia="楷体_GB2312" w:hint="eastAsia"/>
          <w:b/>
          <w:sz w:val="30"/>
          <w:szCs w:val="30"/>
        </w:rPr>
        <w:t>四是明确对“一督即撤”情形的处理。</w:t>
      </w:r>
      <w:r>
        <w:rPr>
          <w:rFonts w:ascii="仿宋_GB2312" w:eastAsia="仿宋_GB2312" w:hint="eastAsia"/>
          <w:bCs/>
          <w:sz w:val="30"/>
          <w:szCs w:val="30"/>
        </w:rPr>
        <w:t>进一步</w:t>
      </w:r>
      <w:r>
        <w:rPr>
          <w:rFonts w:ascii="仿宋_GB2312" w:eastAsia="仿宋_GB2312" w:hAnsiTheme="minorEastAsia" w:hint="eastAsia"/>
          <w:sz w:val="30"/>
          <w:szCs w:val="30"/>
        </w:rPr>
        <w:t>落实证监会《关于注册制下督促证券公司从事投行业务归位尽责的指导意见》的</w:t>
      </w:r>
      <w:r w:rsidR="0093405C">
        <w:rPr>
          <w:rFonts w:ascii="仿宋_GB2312" w:eastAsia="仿宋_GB2312" w:hAnsiTheme="minorEastAsia" w:hint="eastAsia"/>
          <w:sz w:val="30"/>
          <w:szCs w:val="30"/>
        </w:rPr>
        <w:t>监管</w:t>
      </w:r>
      <w:r>
        <w:rPr>
          <w:rFonts w:ascii="仿宋_GB2312" w:eastAsia="仿宋_GB2312" w:hAnsiTheme="minorEastAsia" w:hint="eastAsia"/>
          <w:sz w:val="30"/>
          <w:szCs w:val="30"/>
        </w:rPr>
        <w:t>要求，</w:t>
      </w:r>
      <w:r w:rsidR="003454C8">
        <w:rPr>
          <w:rFonts w:ascii="仿宋_GB2312" w:eastAsia="仿宋_GB2312" w:hAnsiTheme="minorEastAsia" w:hint="eastAsia"/>
          <w:sz w:val="30"/>
          <w:szCs w:val="30"/>
        </w:rPr>
        <w:t>对于</w:t>
      </w:r>
      <w:r>
        <w:rPr>
          <w:rFonts w:ascii="仿宋_GB2312" w:eastAsia="仿宋_GB2312" w:hAnsiTheme="minorEastAsia" w:hint="eastAsia"/>
          <w:sz w:val="30"/>
          <w:szCs w:val="30"/>
        </w:rPr>
        <w:t>“一督即撤”</w:t>
      </w:r>
      <w:r w:rsidR="003454C8">
        <w:rPr>
          <w:rFonts w:ascii="仿宋_GB2312" w:eastAsia="仿宋_GB2312" w:hAnsiTheme="minorEastAsia" w:hint="eastAsia"/>
          <w:sz w:val="30"/>
          <w:szCs w:val="30"/>
        </w:rPr>
        <w:t>的保荐人、</w:t>
      </w:r>
      <w:r w:rsidR="003454C8">
        <w:rPr>
          <w:rFonts w:ascii="仿宋_GB2312" w:eastAsia="仿宋_GB2312" w:hAnsi="仿宋_GB2312" w:hint="eastAsia"/>
          <w:sz w:val="30"/>
          <w:szCs w:val="30"/>
        </w:rPr>
        <w:t>独立财务顾问等主体，本所后续将视情况实施现场督导</w:t>
      </w:r>
      <w:r>
        <w:rPr>
          <w:rFonts w:ascii="仿宋_GB2312" w:eastAsia="仿宋_GB2312" w:hAnsiTheme="minorEastAsia" w:hint="eastAsia"/>
          <w:sz w:val="30"/>
          <w:szCs w:val="30"/>
        </w:rPr>
        <w:t>。同时，</w:t>
      </w:r>
      <w:r w:rsidR="003454C8">
        <w:rPr>
          <w:rFonts w:ascii="仿宋_GB2312" w:eastAsia="仿宋_GB2312" w:hAnsiTheme="minorEastAsia" w:hint="eastAsia"/>
          <w:sz w:val="30"/>
          <w:szCs w:val="30"/>
        </w:rPr>
        <w:t>对于</w:t>
      </w:r>
      <w:r>
        <w:rPr>
          <w:rFonts w:ascii="仿宋_GB2312" w:eastAsia="仿宋_GB2312" w:hAnsiTheme="minorEastAsia" w:hint="eastAsia"/>
          <w:sz w:val="30"/>
          <w:szCs w:val="30"/>
        </w:rPr>
        <w:t>督导组进场后撤回的项目，将继续完成</w:t>
      </w:r>
      <w:r w:rsidR="0093405C">
        <w:rPr>
          <w:rFonts w:ascii="仿宋_GB2312" w:eastAsia="仿宋_GB2312" w:hAnsiTheme="minorEastAsia" w:hint="eastAsia"/>
          <w:sz w:val="30"/>
          <w:szCs w:val="30"/>
        </w:rPr>
        <w:t>现场</w:t>
      </w:r>
      <w:r>
        <w:rPr>
          <w:rFonts w:ascii="仿宋_GB2312" w:eastAsia="仿宋_GB2312" w:hAnsiTheme="minorEastAsia" w:hint="eastAsia"/>
          <w:sz w:val="30"/>
          <w:szCs w:val="30"/>
        </w:rPr>
        <w:t>督导。</w:t>
      </w:r>
    </w:p>
    <w:p w:rsidR="00400C22" w:rsidRDefault="00D103FC">
      <w:pPr>
        <w:snapToGrid w:val="0"/>
        <w:spacing w:line="600" w:lineRule="exact"/>
        <w:ind w:firstLine="600"/>
        <w:rPr>
          <w:rFonts w:ascii="仿宋_GB2312" w:eastAsia="仿宋_GB2312"/>
          <w:sz w:val="30"/>
          <w:szCs w:val="30"/>
        </w:rPr>
      </w:pPr>
      <w:r>
        <w:rPr>
          <w:rFonts w:ascii="楷体_GB2312" w:eastAsia="楷体_GB2312" w:hint="eastAsia"/>
          <w:b/>
          <w:sz w:val="30"/>
          <w:szCs w:val="30"/>
        </w:rPr>
        <w:t>五是增加可以对补充核查工作进行现场监督的条款。</w:t>
      </w:r>
      <w:r>
        <w:rPr>
          <w:rFonts w:ascii="仿宋_GB2312" w:eastAsia="仿宋_GB2312" w:hint="eastAsia"/>
          <w:sz w:val="30"/>
          <w:szCs w:val="30"/>
        </w:rPr>
        <w:t>前期现场督导发现，部分项目仅通过核查工作底稿</w:t>
      </w:r>
      <w:r w:rsidR="0093405C">
        <w:rPr>
          <w:rFonts w:ascii="仿宋_GB2312" w:eastAsia="仿宋_GB2312" w:hint="eastAsia"/>
          <w:sz w:val="30"/>
          <w:szCs w:val="30"/>
        </w:rPr>
        <w:t>等</w:t>
      </w:r>
      <w:r>
        <w:rPr>
          <w:rFonts w:ascii="仿宋_GB2312" w:eastAsia="仿宋_GB2312" w:hint="eastAsia"/>
          <w:sz w:val="30"/>
          <w:szCs w:val="30"/>
        </w:rPr>
        <w:t>方式</w:t>
      </w:r>
      <w:r w:rsidR="0093405C">
        <w:rPr>
          <w:rFonts w:ascii="仿宋_GB2312" w:eastAsia="仿宋_GB2312" w:hint="eastAsia"/>
          <w:sz w:val="30"/>
          <w:szCs w:val="30"/>
        </w:rPr>
        <w:t>开展督导工作，</w:t>
      </w:r>
      <w:r>
        <w:rPr>
          <w:rFonts w:ascii="仿宋_GB2312" w:eastAsia="仿宋_GB2312" w:hint="eastAsia"/>
          <w:sz w:val="30"/>
          <w:szCs w:val="30"/>
        </w:rPr>
        <w:t>难以查清相关问题</w:t>
      </w:r>
      <w:r w:rsidR="003F1C49">
        <w:rPr>
          <w:rFonts w:ascii="仿宋_GB2312" w:eastAsia="仿宋_GB2312" w:hint="eastAsia"/>
          <w:sz w:val="30"/>
          <w:szCs w:val="30"/>
        </w:rPr>
        <w:t>。</w:t>
      </w:r>
      <w:r w:rsidR="003454C8">
        <w:rPr>
          <w:rFonts w:ascii="仿宋_GB2312" w:eastAsia="仿宋_GB2312" w:hint="eastAsia"/>
          <w:sz w:val="30"/>
          <w:szCs w:val="30"/>
        </w:rPr>
        <w:t>《指引》</w:t>
      </w:r>
      <w:r w:rsidR="003F1C49">
        <w:rPr>
          <w:rFonts w:ascii="仿宋_GB2312" w:eastAsia="仿宋_GB2312" w:hint="eastAsia"/>
          <w:sz w:val="30"/>
          <w:szCs w:val="30"/>
        </w:rPr>
        <w:t>适当延伸现场督导的核查边界，</w:t>
      </w:r>
      <w:r>
        <w:rPr>
          <w:rFonts w:ascii="仿宋_GB2312" w:eastAsia="仿宋_GB2312" w:hint="eastAsia"/>
          <w:sz w:val="30"/>
          <w:szCs w:val="30"/>
        </w:rPr>
        <w:t>增加督导组在必要时可以对督导对象的补充核查工作进行现场监督的规定。</w:t>
      </w:r>
    </w:p>
    <w:p w:rsidR="00400C22" w:rsidRDefault="00D103FC">
      <w:pPr>
        <w:spacing w:line="600" w:lineRule="exact"/>
        <w:ind w:firstLineChars="200" w:firstLine="602"/>
        <w:rPr>
          <w:rFonts w:ascii="仿宋_GB2312" w:eastAsia="仿宋_GB2312" w:hAnsiTheme="minorEastAsia"/>
          <w:sz w:val="30"/>
          <w:szCs w:val="30"/>
        </w:rPr>
      </w:pPr>
      <w:r>
        <w:rPr>
          <w:rFonts w:ascii="楷体_GB2312" w:eastAsia="楷体_GB2312" w:hint="eastAsia"/>
          <w:b/>
          <w:sz w:val="30"/>
          <w:szCs w:val="30"/>
        </w:rPr>
        <w:t>六是增加督导对象的整改要求。</w:t>
      </w:r>
      <w:r>
        <w:rPr>
          <w:rFonts w:ascii="仿宋_GB2312" w:eastAsia="仿宋_GB2312" w:hint="eastAsia"/>
          <w:sz w:val="30"/>
          <w:szCs w:val="30"/>
        </w:rPr>
        <w:t>为督促督导对象从整体上</w:t>
      </w:r>
      <w:r w:rsidR="003F1C49">
        <w:rPr>
          <w:rFonts w:ascii="仿宋_GB2312" w:eastAsia="仿宋_GB2312" w:hint="eastAsia"/>
          <w:sz w:val="30"/>
          <w:szCs w:val="30"/>
        </w:rPr>
        <w:t>提升</w:t>
      </w:r>
      <w:r>
        <w:rPr>
          <w:rFonts w:ascii="仿宋_GB2312" w:eastAsia="仿宋_GB2312" w:hint="eastAsia"/>
          <w:sz w:val="30"/>
          <w:szCs w:val="30"/>
        </w:rPr>
        <w:t>执业质量</w:t>
      </w:r>
      <w:r>
        <w:rPr>
          <w:rFonts w:ascii="仿宋_GB2312" w:eastAsia="仿宋_GB2312" w:hAnsiTheme="minorEastAsia" w:hint="eastAsia"/>
          <w:sz w:val="30"/>
          <w:szCs w:val="30"/>
        </w:rPr>
        <w:t>，</w:t>
      </w:r>
      <w:r w:rsidR="003F1C49">
        <w:rPr>
          <w:rFonts w:ascii="仿宋_GB2312" w:eastAsia="仿宋_GB2312" w:hAnsiTheme="minorEastAsia" w:hint="eastAsia"/>
          <w:sz w:val="30"/>
          <w:szCs w:val="30"/>
        </w:rPr>
        <w:t>避免“屡督屡犯”，《指引》进一步要求，</w:t>
      </w:r>
      <w:r>
        <w:rPr>
          <w:rFonts w:ascii="仿宋_GB2312" w:eastAsia="仿宋_GB2312" w:hAnsiTheme="minorEastAsia" w:hint="eastAsia"/>
          <w:sz w:val="30"/>
          <w:szCs w:val="30"/>
        </w:rPr>
        <w:t>对于现场督导中发现</w:t>
      </w:r>
      <w:r w:rsidR="003F1C49">
        <w:rPr>
          <w:rFonts w:ascii="仿宋_GB2312" w:eastAsia="仿宋_GB2312" w:hAnsiTheme="minorEastAsia" w:hint="eastAsia"/>
          <w:sz w:val="30"/>
          <w:szCs w:val="30"/>
        </w:rPr>
        <w:t>的</w:t>
      </w:r>
      <w:r>
        <w:rPr>
          <w:rFonts w:ascii="仿宋_GB2312" w:eastAsia="仿宋_GB2312" w:hAnsiTheme="minorEastAsia" w:hint="eastAsia"/>
          <w:sz w:val="30"/>
          <w:szCs w:val="30"/>
        </w:rPr>
        <w:t>督导对象执业质量问题，督导对象应及时整改，本</w:t>
      </w:r>
      <w:r>
        <w:rPr>
          <w:rFonts w:ascii="仿宋_GB2312" w:eastAsia="仿宋_GB2312" w:hAnsiTheme="minorEastAsia" w:hint="eastAsia"/>
          <w:sz w:val="30"/>
          <w:szCs w:val="30"/>
        </w:rPr>
        <w:lastRenderedPageBreak/>
        <w:t>所在</w:t>
      </w:r>
      <w:r>
        <w:rPr>
          <w:rFonts w:ascii="仿宋_GB2312" w:eastAsia="仿宋_GB2312" w:hint="eastAsia"/>
          <w:sz w:val="30"/>
          <w:szCs w:val="30"/>
        </w:rPr>
        <w:t>必要时</w:t>
      </w:r>
      <w:r>
        <w:rPr>
          <w:rFonts w:ascii="仿宋_GB2312" w:eastAsia="仿宋_GB2312" w:hAnsiTheme="minorEastAsia" w:hint="eastAsia"/>
          <w:sz w:val="30"/>
          <w:szCs w:val="30"/>
        </w:rPr>
        <w:t>可以对其整改情况进行检查。</w:t>
      </w:r>
    </w:p>
    <w:p w:rsidR="00400C22" w:rsidRDefault="00D103FC">
      <w:pPr>
        <w:spacing w:line="600" w:lineRule="exact"/>
        <w:ind w:firstLineChars="200" w:firstLine="600"/>
        <w:rPr>
          <w:rFonts w:ascii="仿宋_GB2312" w:eastAsia="仿宋_GB2312" w:hAnsiTheme="minorEastAsia"/>
          <w:sz w:val="30"/>
          <w:szCs w:val="30"/>
        </w:rPr>
      </w:pPr>
      <w:r>
        <w:rPr>
          <w:rFonts w:ascii="仿宋_GB2312" w:eastAsia="仿宋_GB2312" w:hint="eastAsia"/>
          <w:sz w:val="30"/>
          <w:szCs w:val="30"/>
        </w:rPr>
        <w:t>特此说明。</w:t>
      </w:r>
    </w:p>
    <w:sectPr w:rsidR="00400C22" w:rsidSect="00400C2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F96" w:rsidRDefault="00BF5F96" w:rsidP="00400C22">
      <w:r>
        <w:separator/>
      </w:r>
    </w:p>
  </w:endnote>
  <w:endnote w:type="continuationSeparator" w:id="0">
    <w:p w:rsidR="00BF5F96" w:rsidRDefault="00BF5F96" w:rsidP="00400C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677418157"/>
      <w:docPartObj>
        <w:docPartGallery w:val="AutoText"/>
      </w:docPartObj>
    </w:sdtPr>
    <w:sdtContent>
      <w:p w:rsidR="00400C22" w:rsidRPr="00CE1AF8" w:rsidRDefault="006B071A" w:rsidP="00CE1AF8">
        <w:pPr>
          <w:pStyle w:val="a5"/>
          <w:jc w:val="center"/>
          <w:rPr>
            <w:sz w:val="24"/>
            <w:szCs w:val="24"/>
          </w:rPr>
        </w:pPr>
        <w:r w:rsidRPr="006B071A">
          <w:rPr>
            <w:sz w:val="24"/>
            <w:szCs w:val="24"/>
          </w:rPr>
          <w:fldChar w:fldCharType="begin"/>
        </w:r>
        <w:r w:rsidR="00D103FC" w:rsidRPr="00CE1AF8">
          <w:rPr>
            <w:sz w:val="24"/>
            <w:szCs w:val="24"/>
          </w:rPr>
          <w:instrText xml:space="preserve"> PAGE   \* MERGEFORMAT </w:instrText>
        </w:r>
        <w:r w:rsidRPr="006B071A">
          <w:rPr>
            <w:sz w:val="24"/>
            <w:szCs w:val="24"/>
          </w:rPr>
          <w:fldChar w:fldCharType="separate"/>
        </w:r>
        <w:r w:rsidR="00F61423" w:rsidRPr="00F61423">
          <w:rPr>
            <w:noProof/>
            <w:sz w:val="24"/>
            <w:szCs w:val="24"/>
            <w:lang w:val="zh-CN"/>
          </w:rPr>
          <w:t>3</w:t>
        </w:r>
        <w:r w:rsidRPr="00CE1AF8">
          <w:rPr>
            <w:sz w:val="24"/>
            <w:szCs w:val="24"/>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F96" w:rsidRDefault="00BF5F96" w:rsidP="00400C22">
      <w:r>
        <w:separator/>
      </w:r>
    </w:p>
  </w:footnote>
  <w:footnote w:type="continuationSeparator" w:id="0">
    <w:p w:rsidR="00BF5F96" w:rsidRDefault="00BF5F96" w:rsidP="00400C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3BF5"/>
    <w:rsid w:val="000059D3"/>
    <w:rsid w:val="000324D1"/>
    <w:rsid w:val="0004092E"/>
    <w:rsid w:val="00051B5E"/>
    <w:rsid w:val="000B09F5"/>
    <w:rsid w:val="000D2FB6"/>
    <w:rsid w:val="000D611E"/>
    <w:rsid w:val="000E7ED4"/>
    <w:rsid w:val="00131F59"/>
    <w:rsid w:val="00191174"/>
    <w:rsid w:val="001D3CF7"/>
    <w:rsid w:val="001F48FB"/>
    <w:rsid w:val="0028182D"/>
    <w:rsid w:val="0028248F"/>
    <w:rsid w:val="00284A1F"/>
    <w:rsid w:val="002A35F4"/>
    <w:rsid w:val="002B7051"/>
    <w:rsid w:val="002E0FC9"/>
    <w:rsid w:val="003123C3"/>
    <w:rsid w:val="00312BCE"/>
    <w:rsid w:val="00342AE3"/>
    <w:rsid w:val="003454C8"/>
    <w:rsid w:val="003636FC"/>
    <w:rsid w:val="003F1C49"/>
    <w:rsid w:val="00400C22"/>
    <w:rsid w:val="00432592"/>
    <w:rsid w:val="00437CB6"/>
    <w:rsid w:val="00454D0E"/>
    <w:rsid w:val="00491B04"/>
    <w:rsid w:val="004C0467"/>
    <w:rsid w:val="0052739A"/>
    <w:rsid w:val="005536AD"/>
    <w:rsid w:val="00561A44"/>
    <w:rsid w:val="00584701"/>
    <w:rsid w:val="00596B33"/>
    <w:rsid w:val="005D4216"/>
    <w:rsid w:val="005F3978"/>
    <w:rsid w:val="005F4C1E"/>
    <w:rsid w:val="006453F6"/>
    <w:rsid w:val="00660B7B"/>
    <w:rsid w:val="0068154B"/>
    <w:rsid w:val="006B071A"/>
    <w:rsid w:val="006E4765"/>
    <w:rsid w:val="0071577C"/>
    <w:rsid w:val="00732EE1"/>
    <w:rsid w:val="00744E86"/>
    <w:rsid w:val="00746BC2"/>
    <w:rsid w:val="00752CF0"/>
    <w:rsid w:val="0075369F"/>
    <w:rsid w:val="00767A40"/>
    <w:rsid w:val="0084788C"/>
    <w:rsid w:val="00857B8E"/>
    <w:rsid w:val="008D0A0A"/>
    <w:rsid w:val="008F0FEF"/>
    <w:rsid w:val="0093405C"/>
    <w:rsid w:val="009368B0"/>
    <w:rsid w:val="009A18EC"/>
    <w:rsid w:val="009D0E8E"/>
    <w:rsid w:val="009E02B6"/>
    <w:rsid w:val="00A365CC"/>
    <w:rsid w:val="00A5292D"/>
    <w:rsid w:val="00A862C3"/>
    <w:rsid w:val="00B0179F"/>
    <w:rsid w:val="00B061EA"/>
    <w:rsid w:val="00B33BCF"/>
    <w:rsid w:val="00B51FAF"/>
    <w:rsid w:val="00B63BF5"/>
    <w:rsid w:val="00BC37FB"/>
    <w:rsid w:val="00BD11E6"/>
    <w:rsid w:val="00BF5555"/>
    <w:rsid w:val="00BF5F96"/>
    <w:rsid w:val="00C06BBC"/>
    <w:rsid w:val="00C80ADA"/>
    <w:rsid w:val="00C84D9D"/>
    <w:rsid w:val="00C86B8F"/>
    <w:rsid w:val="00CB07B7"/>
    <w:rsid w:val="00CC2B84"/>
    <w:rsid w:val="00CC588A"/>
    <w:rsid w:val="00CE1AF8"/>
    <w:rsid w:val="00D103FC"/>
    <w:rsid w:val="00D77734"/>
    <w:rsid w:val="00DC0EC5"/>
    <w:rsid w:val="00DC508A"/>
    <w:rsid w:val="00DD73B3"/>
    <w:rsid w:val="00DE07DD"/>
    <w:rsid w:val="00E004AC"/>
    <w:rsid w:val="00E10DAC"/>
    <w:rsid w:val="00E13E4A"/>
    <w:rsid w:val="00E35AE8"/>
    <w:rsid w:val="00E45EE8"/>
    <w:rsid w:val="00E70E32"/>
    <w:rsid w:val="00E8107E"/>
    <w:rsid w:val="00F03DF1"/>
    <w:rsid w:val="00F04CBF"/>
    <w:rsid w:val="00F47233"/>
    <w:rsid w:val="00F61423"/>
    <w:rsid w:val="00F84EFA"/>
    <w:rsid w:val="00FC66B7"/>
    <w:rsid w:val="0C9B3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C22"/>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400C22"/>
    <w:pPr>
      <w:keepNext/>
      <w:keepLines/>
      <w:pageBreakBefore/>
      <w:snapToGrid w:val="0"/>
      <w:spacing w:line="600" w:lineRule="exact"/>
      <w:jc w:val="center"/>
      <w:outlineLvl w:val="0"/>
    </w:pPr>
    <w:rPr>
      <w:rFonts w:eastAsia="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400C22"/>
    <w:rPr>
      <w:rFonts w:ascii="宋体"/>
      <w:sz w:val="18"/>
      <w:szCs w:val="18"/>
    </w:rPr>
  </w:style>
  <w:style w:type="paragraph" w:styleId="a4">
    <w:name w:val="Balloon Text"/>
    <w:basedOn w:val="a"/>
    <w:link w:val="Char0"/>
    <w:uiPriority w:val="99"/>
    <w:semiHidden/>
    <w:unhideWhenUsed/>
    <w:rsid w:val="00400C22"/>
    <w:rPr>
      <w:sz w:val="18"/>
      <w:szCs w:val="18"/>
    </w:rPr>
  </w:style>
  <w:style w:type="paragraph" w:styleId="a5">
    <w:name w:val="footer"/>
    <w:basedOn w:val="a"/>
    <w:link w:val="Char1"/>
    <w:uiPriority w:val="99"/>
    <w:unhideWhenUsed/>
    <w:rsid w:val="00400C22"/>
    <w:pPr>
      <w:tabs>
        <w:tab w:val="center" w:pos="4153"/>
        <w:tab w:val="right" w:pos="8306"/>
      </w:tabs>
      <w:snapToGrid w:val="0"/>
      <w:jc w:val="left"/>
    </w:pPr>
    <w:rPr>
      <w:sz w:val="18"/>
      <w:szCs w:val="18"/>
    </w:rPr>
  </w:style>
  <w:style w:type="paragraph" w:styleId="a6">
    <w:name w:val="header"/>
    <w:basedOn w:val="a"/>
    <w:link w:val="Char2"/>
    <w:uiPriority w:val="99"/>
    <w:unhideWhenUsed/>
    <w:rsid w:val="00400C22"/>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unhideWhenUsed/>
    <w:rsid w:val="00400C22"/>
    <w:rPr>
      <w:sz w:val="21"/>
      <w:szCs w:val="21"/>
    </w:rPr>
  </w:style>
  <w:style w:type="character" w:customStyle="1" w:styleId="1Char">
    <w:name w:val="标题 1 Char"/>
    <w:basedOn w:val="a0"/>
    <w:link w:val="1"/>
    <w:uiPriority w:val="9"/>
    <w:rsid w:val="00400C22"/>
    <w:rPr>
      <w:rFonts w:ascii="Times New Roman" w:eastAsia="黑体" w:hAnsi="Times New Roman" w:cs="Times New Roman"/>
      <w:b/>
      <w:bCs/>
      <w:kern w:val="44"/>
      <w:sz w:val="44"/>
      <w:szCs w:val="44"/>
    </w:rPr>
  </w:style>
  <w:style w:type="character" w:customStyle="1" w:styleId="Char">
    <w:name w:val="文档结构图 Char"/>
    <w:basedOn w:val="a0"/>
    <w:link w:val="a3"/>
    <w:uiPriority w:val="99"/>
    <w:semiHidden/>
    <w:rsid w:val="00400C22"/>
    <w:rPr>
      <w:rFonts w:ascii="宋体" w:eastAsia="宋体" w:hAnsi="Times New Roman" w:cs="Times New Roman"/>
      <w:sz w:val="18"/>
      <w:szCs w:val="18"/>
    </w:rPr>
  </w:style>
  <w:style w:type="character" w:customStyle="1" w:styleId="Char2">
    <w:name w:val="页眉 Char"/>
    <w:basedOn w:val="a0"/>
    <w:link w:val="a6"/>
    <w:uiPriority w:val="99"/>
    <w:rsid w:val="00400C22"/>
    <w:rPr>
      <w:rFonts w:ascii="Times New Roman" w:eastAsia="宋体" w:hAnsi="Times New Roman" w:cs="Times New Roman"/>
      <w:sz w:val="18"/>
      <w:szCs w:val="18"/>
    </w:rPr>
  </w:style>
  <w:style w:type="character" w:customStyle="1" w:styleId="Char1">
    <w:name w:val="页脚 Char"/>
    <w:basedOn w:val="a0"/>
    <w:link w:val="a5"/>
    <w:uiPriority w:val="99"/>
    <w:rsid w:val="00400C22"/>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400C22"/>
    <w:rPr>
      <w:rFonts w:ascii="Times New Roman" w:eastAsia="宋体" w:hAnsi="Times New Roman" w:cs="Times New Roman"/>
      <w:sz w:val="18"/>
      <w:szCs w:val="18"/>
    </w:rPr>
  </w:style>
  <w:style w:type="paragraph" w:customStyle="1" w:styleId="10">
    <w:name w:val="修订1"/>
    <w:hidden/>
    <w:uiPriority w:val="99"/>
    <w:semiHidden/>
    <w:rsid w:val="00400C22"/>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80707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004B14-6B81-4DB8-8F51-DE53420F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2022-02-17T08:52:00Z</cp:lastPrinted>
  <dcterms:created xsi:type="dcterms:W3CDTF">2022-03-17T14:56:00Z</dcterms:created>
  <dcterms:modified xsi:type="dcterms:W3CDTF">2023-02-16T09:37:00Z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EBC77427F9B440029CCC37C0BE238F0A</vt:lpwstr>
  </property>
</Properties>
</file>