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C10" w:rsidRPr="00C21C10" w:rsidRDefault="00C21C10" w:rsidP="00C21C10">
      <w:pPr>
        <w:adjustRightInd w:val="0"/>
        <w:spacing w:line="560" w:lineRule="exact"/>
        <w:jc w:val="left"/>
        <w:rPr>
          <w:rFonts w:ascii="黑体" w:eastAsia="黑体" w:hAnsi="黑体" w:cs="Times New Roman"/>
          <w:sz w:val="32"/>
          <w:szCs w:val="30"/>
        </w:rPr>
      </w:pPr>
      <w:bookmarkStart w:id="0" w:name="_Toc414522857"/>
      <w:bookmarkStart w:id="1" w:name="_Toc1832762"/>
      <w:bookmarkStart w:id="2" w:name="_Toc37664892"/>
      <w:bookmarkStart w:id="3" w:name="_GoBack"/>
      <w:bookmarkEnd w:id="3"/>
      <w:r w:rsidRPr="00C21C10">
        <w:rPr>
          <w:rFonts w:ascii="黑体" w:eastAsia="黑体" w:hAnsi="黑体" w:cs="Times New Roman" w:hint="eastAsia"/>
          <w:sz w:val="32"/>
          <w:szCs w:val="30"/>
        </w:rPr>
        <w:t>附件</w:t>
      </w:r>
    </w:p>
    <w:p w:rsidR="00C21C10" w:rsidRDefault="00C21C10">
      <w:pPr>
        <w:adjustRightInd w:val="0"/>
        <w:spacing w:line="560" w:lineRule="exact"/>
        <w:jc w:val="center"/>
        <w:rPr>
          <w:rFonts w:ascii="方正小标宋简体" w:eastAsia="方正小标宋简体" w:hAnsi="华文中宋" w:cs="Times New Roman"/>
          <w:sz w:val="44"/>
          <w:szCs w:val="30"/>
        </w:rPr>
      </w:pPr>
    </w:p>
    <w:p w:rsidR="00DA5501" w:rsidRPr="000968AD" w:rsidRDefault="007C17D1">
      <w:pPr>
        <w:adjustRightInd w:val="0"/>
        <w:spacing w:line="560" w:lineRule="exact"/>
        <w:jc w:val="center"/>
        <w:rPr>
          <w:rFonts w:ascii="方正小标宋简体" w:eastAsia="方正小标宋简体" w:hAnsi="华文中宋" w:cs="Times New Roman"/>
          <w:sz w:val="44"/>
          <w:szCs w:val="30"/>
        </w:rPr>
      </w:pPr>
      <w:r w:rsidRPr="000968AD">
        <w:rPr>
          <w:rFonts w:ascii="方正小标宋简体" w:eastAsia="方正小标宋简体" w:hAnsi="华文中宋" w:cs="Times New Roman" w:hint="eastAsia"/>
          <w:sz w:val="44"/>
          <w:szCs w:val="30"/>
        </w:rPr>
        <w:t>深圳证券交易所公司债券发行上市</w:t>
      </w:r>
    </w:p>
    <w:p w:rsidR="00DA5501" w:rsidRPr="000968AD" w:rsidRDefault="007C17D1">
      <w:pPr>
        <w:adjustRightInd w:val="0"/>
        <w:spacing w:line="560" w:lineRule="exact"/>
        <w:jc w:val="center"/>
        <w:rPr>
          <w:rFonts w:ascii="方正小标宋简体" w:eastAsia="方正小标宋简体" w:hAnsi="华文中宋" w:cs="Times New Roman"/>
          <w:sz w:val="44"/>
          <w:szCs w:val="30"/>
        </w:rPr>
      </w:pPr>
      <w:r w:rsidRPr="000968AD">
        <w:rPr>
          <w:rFonts w:ascii="方正小标宋简体" w:eastAsia="方正小标宋简体" w:hAnsi="华文中宋" w:cs="Times New Roman" w:hint="eastAsia"/>
          <w:sz w:val="44"/>
          <w:szCs w:val="30"/>
        </w:rPr>
        <w:t>审核业务指引第</w:t>
      </w:r>
      <w:r w:rsidR="0077550E" w:rsidRPr="000968AD">
        <w:rPr>
          <w:rFonts w:ascii="方正小标宋简体" w:eastAsia="方正小标宋简体" w:hAnsi="华文中宋" w:cs="Times New Roman" w:hint="eastAsia"/>
          <w:sz w:val="44"/>
          <w:szCs w:val="30"/>
        </w:rPr>
        <w:t>2</w:t>
      </w:r>
      <w:r w:rsidRPr="000968AD">
        <w:rPr>
          <w:rFonts w:ascii="方正小标宋简体" w:eastAsia="方正小标宋简体" w:hAnsi="华文中宋" w:cs="Times New Roman" w:hint="eastAsia"/>
          <w:sz w:val="44"/>
          <w:szCs w:val="30"/>
        </w:rPr>
        <w:t>号</w:t>
      </w:r>
    </w:p>
    <w:p w:rsidR="00DA5501" w:rsidRPr="000968AD" w:rsidRDefault="007C17D1">
      <w:pPr>
        <w:adjustRightInd w:val="0"/>
        <w:spacing w:line="560" w:lineRule="exact"/>
        <w:jc w:val="center"/>
        <w:rPr>
          <w:rFonts w:ascii="方正小标宋简体" w:eastAsia="方正小标宋简体" w:hAnsi="华文中宋" w:cs="Times New Roman"/>
          <w:sz w:val="44"/>
          <w:szCs w:val="30"/>
        </w:rPr>
      </w:pPr>
      <w:r w:rsidRPr="000968AD">
        <w:rPr>
          <w:rFonts w:ascii="方正小标宋简体" w:eastAsia="方正小标宋简体" w:hAnsi="华文中宋" w:cs="Times New Roman" w:hint="eastAsia"/>
          <w:sz w:val="44"/>
          <w:szCs w:val="30"/>
        </w:rPr>
        <w:t>——申请文件及其编制要求</w:t>
      </w:r>
    </w:p>
    <w:bookmarkEnd w:id="0"/>
    <w:bookmarkEnd w:id="1"/>
    <w:bookmarkEnd w:id="2"/>
    <w:p w:rsidR="00DA5501" w:rsidRDefault="00DA5501">
      <w:pPr>
        <w:tabs>
          <w:tab w:val="right" w:leader="dot" w:pos="8296"/>
        </w:tabs>
        <w:overflowPunct w:val="0"/>
        <w:adjustRightInd w:val="0"/>
        <w:snapToGrid w:val="0"/>
        <w:spacing w:line="560" w:lineRule="exact"/>
        <w:ind w:firstLineChars="200" w:firstLine="442"/>
        <w:rPr>
          <w:rFonts w:ascii="仿宋_GB2312" w:eastAsia="仿宋_GB2312" w:hAnsi="Times New Roman" w:cs="Times New Roman"/>
          <w:b/>
          <w:bCs/>
          <w:color w:val="000000"/>
          <w:kern w:val="0"/>
          <w:sz w:val="22"/>
          <w:szCs w:val="30"/>
        </w:rPr>
      </w:pPr>
    </w:p>
    <w:p w:rsidR="00DA5501" w:rsidRDefault="007C17D1">
      <w:pPr>
        <w:adjustRightInd w:val="0"/>
        <w:snapToGrid w:val="0"/>
        <w:spacing w:line="560" w:lineRule="exact"/>
        <w:jc w:val="center"/>
        <w:outlineLvl w:val="0"/>
        <w:rPr>
          <w:rFonts w:ascii="Times New Roman" w:eastAsia="黑体" w:hAnsi="Times New Roman" w:cs="Times New Roman"/>
          <w:bCs/>
          <w:color w:val="000000"/>
          <w:kern w:val="0"/>
          <w:sz w:val="32"/>
          <w:szCs w:val="30"/>
        </w:rPr>
      </w:pPr>
      <w:bookmarkStart w:id="4" w:name="_Toc96687517"/>
      <w:r>
        <w:rPr>
          <w:rFonts w:ascii="Times New Roman" w:eastAsia="黑体" w:hAnsi="Times New Roman" w:cs="Times New Roman" w:hint="eastAsia"/>
          <w:bCs/>
          <w:color w:val="000000"/>
          <w:kern w:val="0"/>
          <w:sz w:val="32"/>
          <w:szCs w:val="30"/>
        </w:rPr>
        <w:t>第一章</w:t>
      </w:r>
      <w:r>
        <w:rPr>
          <w:rFonts w:ascii="Times New Roman" w:eastAsia="黑体" w:hAnsi="Times New Roman" w:cs="Times New Roman"/>
          <w:bCs/>
          <w:color w:val="000000"/>
          <w:kern w:val="0"/>
          <w:sz w:val="32"/>
          <w:szCs w:val="30"/>
        </w:rPr>
        <w:t xml:space="preserve"> </w:t>
      </w:r>
      <w:r>
        <w:rPr>
          <w:rFonts w:ascii="Times New Roman" w:eastAsia="黑体" w:hAnsi="Times New Roman" w:cs="Times New Roman" w:hint="eastAsia"/>
          <w:bCs/>
          <w:color w:val="000000"/>
          <w:kern w:val="0"/>
          <w:sz w:val="32"/>
          <w:szCs w:val="30"/>
        </w:rPr>
        <w:t>总则</w:t>
      </w:r>
      <w:bookmarkEnd w:id="4"/>
    </w:p>
    <w:p w:rsidR="00DA5501" w:rsidRDefault="007C17D1">
      <w:pPr>
        <w:adjustRightInd w:val="0"/>
        <w:snapToGrid w:val="0"/>
        <w:spacing w:line="560" w:lineRule="exact"/>
        <w:ind w:firstLineChars="200" w:firstLine="643"/>
        <w:jc w:val="left"/>
        <w:rPr>
          <w:rFonts w:ascii="仿宋" w:eastAsia="仿宋" w:hAnsi="仿宋" w:cs="Times New Roman"/>
          <w:color w:val="000000"/>
          <w:sz w:val="32"/>
          <w:szCs w:val="30"/>
        </w:rPr>
      </w:pPr>
      <w:r>
        <w:rPr>
          <w:rFonts w:ascii="仿宋" w:eastAsia="仿宋" w:hAnsi="仿宋" w:cs="Times New Roman" w:hint="eastAsia"/>
          <w:b/>
          <w:color w:val="000000"/>
          <w:sz w:val="32"/>
          <w:szCs w:val="30"/>
        </w:rPr>
        <w:t>第一条</w:t>
      </w:r>
      <w:r>
        <w:rPr>
          <w:rFonts w:ascii="仿宋" w:eastAsia="仿宋" w:hAnsi="仿宋" w:cs="Times New Roman" w:hint="eastAsia"/>
          <w:color w:val="000000"/>
          <w:sz w:val="32"/>
          <w:szCs w:val="30"/>
        </w:rPr>
        <w:t xml:space="preserve"> 为规范公司债券发行上市审核工作，便于发行人、主承销商和证券服务机构编制、提交申请文件，提高审核工作效率，深圳证券交易所（以下简称本所）根据《中华人民共和国证券法》</w:t>
      </w:r>
      <w:r w:rsidR="00451F3C">
        <w:rPr>
          <w:rFonts w:ascii="仿宋" w:eastAsia="仿宋" w:hAnsi="仿宋" w:cs="Times New Roman" w:hint="eastAsia"/>
          <w:color w:val="000000"/>
          <w:sz w:val="32"/>
          <w:szCs w:val="30"/>
        </w:rPr>
        <w:t>（以下简称</w:t>
      </w:r>
      <w:r w:rsidR="002D418A">
        <w:rPr>
          <w:rFonts w:ascii="仿宋" w:eastAsia="仿宋" w:hAnsi="仿宋" w:cs="Times New Roman" w:hint="eastAsia"/>
          <w:color w:val="000000"/>
          <w:sz w:val="32"/>
          <w:szCs w:val="30"/>
        </w:rPr>
        <w:t>《证券法》</w:t>
      </w:r>
      <w:r w:rsidR="00451F3C">
        <w:rPr>
          <w:rFonts w:ascii="仿宋" w:eastAsia="仿宋" w:hAnsi="仿宋" w:cs="Times New Roman" w:hint="eastAsia"/>
          <w:color w:val="000000"/>
          <w:sz w:val="32"/>
          <w:szCs w:val="30"/>
        </w:rPr>
        <w:t>）</w:t>
      </w:r>
      <w:r>
        <w:rPr>
          <w:rFonts w:ascii="仿宋" w:eastAsia="仿宋" w:hAnsi="仿宋" w:cs="Times New Roman" w:hint="eastAsia"/>
          <w:color w:val="000000"/>
          <w:sz w:val="32"/>
          <w:szCs w:val="30"/>
        </w:rPr>
        <w:t>《中华人民共和国公司法》</w:t>
      </w:r>
      <w:r w:rsidR="002D418A">
        <w:rPr>
          <w:rFonts w:ascii="仿宋" w:eastAsia="仿宋" w:hAnsi="仿宋" w:cs="Times New Roman" w:hint="eastAsia"/>
          <w:color w:val="000000"/>
          <w:sz w:val="32"/>
          <w:szCs w:val="30"/>
        </w:rPr>
        <w:t>（以下简称《公司法》）</w:t>
      </w:r>
      <w:r>
        <w:rPr>
          <w:rFonts w:ascii="仿宋" w:eastAsia="仿宋" w:hAnsi="仿宋" w:cs="Times New Roman" w:hint="eastAsia"/>
          <w:color w:val="000000"/>
          <w:sz w:val="32"/>
          <w:szCs w:val="30"/>
        </w:rPr>
        <w:t>《国务院办公厅关于贯彻实施修订后的证券法有关工作的通知》《公司债券发行与交易管理办法》（以下简称《发行与交易管理办法》）《公司信用类债券信息披露管理办法》（以下简称《信息披露管理办法》）《公开发行证券的公司信息披露内容与格式准则第24号</w:t>
      </w:r>
      <w:r>
        <w:rPr>
          <w:rFonts w:ascii="仿宋" w:eastAsia="仿宋" w:hAnsi="仿宋" w:cs="Times New Roman" w:hint="eastAsia"/>
          <w:color w:val="000000"/>
          <w:sz w:val="30"/>
          <w:szCs w:val="30"/>
        </w:rPr>
        <w:t>——</w:t>
      </w:r>
      <w:r>
        <w:rPr>
          <w:rFonts w:ascii="仿宋" w:eastAsia="仿宋" w:hAnsi="仿宋" w:cs="Times New Roman" w:hint="eastAsia"/>
          <w:color w:val="000000"/>
          <w:sz w:val="32"/>
          <w:szCs w:val="30"/>
        </w:rPr>
        <w:t>公开发行公司债券申请文件》（以下简称《24号准则》）等法律、行政法规、部门规章和规范性文件，以及《深圳证券交易所公司债券上市规则》（以下简称《上市规则》）《深圳证券交易所公司债券发行上市审核规则》等业务规则，制定本指引。</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第二条</w:t>
      </w:r>
      <w:r w:rsidR="00CB1752">
        <w:rPr>
          <w:rFonts w:ascii="仿宋" w:eastAsia="仿宋" w:hAnsi="仿宋" w:cs="Times New Roman" w:hint="eastAsia"/>
          <w:b/>
          <w:color w:val="000000"/>
          <w:sz w:val="32"/>
          <w:szCs w:val="30"/>
        </w:rPr>
        <w:t xml:space="preserve"> </w:t>
      </w:r>
      <w:r>
        <w:rPr>
          <w:rFonts w:ascii="仿宋" w:eastAsia="仿宋" w:hAnsi="仿宋" w:cs="Times New Roman" w:hint="eastAsia"/>
          <w:color w:val="000000"/>
          <w:sz w:val="32"/>
          <w:szCs w:val="30"/>
        </w:rPr>
        <w:t>公开发行并在本所上市的公司债券申请文件编制</w:t>
      </w:r>
      <w:r w:rsidR="00CB1752">
        <w:rPr>
          <w:rFonts w:ascii="仿宋" w:eastAsia="仿宋" w:hAnsi="仿宋" w:cs="Times New Roman" w:hint="eastAsia"/>
          <w:color w:val="000000"/>
          <w:sz w:val="32"/>
          <w:szCs w:val="30"/>
        </w:rPr>
        <w:t>，适用本指引</w:t>
      </w:r>
      <w:r>
        <w:rPr>
          <w:rFonts w:ascii="仿宋" w:eastAsia="仿宋" w:hAnsi="仿宋" w:cs="Times New Roman" w:hint="eastAsia"/>
          <w:color w:val="000000"/>
          <w:sz w:val="32"/>
          <w:szCs w:val="30"/>
        </w:rPr>
        <w:t>。本指引未尽事宜，按中国证券监督管理委员会（以</w:t>
      </w:r>
      <w:r>
        <w:rPr>
          <w:rFonts w:ascii="仿宋" w:eastAsia="仿宋" w:hAnsi="仿宋" w:cs="Times New Roman" w:hint="eastAsia"/>
          <w:color w:val="000000"/>
          <w:sz w:val="32"/>
          <w:szCs w:val="30"/>
        </w:rPr>
        <w:lastRenderedPageBreak/>
        <w:t>下简称中国证监会）</w:t>
      </w:r>
      <w:r w:rsidR="00E62047">
        <w:rPr>
          <w:rFonts w:ascii="仿宋" w:eastAsia="仿宋" w:hAnsi="仿宋" w:cs="Times New Roman" w:hint="eastAsia"/>
          <w:color w:val="000000"/>
          <w:sz w:val="32"/>
          <w:szCs w:val="30"/>
        </w:rPr>
        <w:t>有关规定</w:t>
      </w:r>
      <w:r>
        <w:rPr>
          <w:rFonts w:ascii="仿宋" w:eastAsia="仿宋" w:hAnsi="仿宋" w:cs="Times New Roman" w:hint="eastAsia"/>
          <w:color w:val="000000"/>
          <w:sz w:val="32"/>
          <w:szCs w:val="30"/>
        </w:rPr>
        <w:t>和本所</w:t>
      </w:r>
      <w:r w:rsidR="00E62047">
        <w:rPr>
          <w:rFonts w:ascii="仿宋" w:eastAsia="仿宋" w:hAnsi="仿宋" w:cs="Times New Roman" w:hint="eastAsia"/>
          <w:color w:val="000000"/>
          <w:sz w:val="32"/>
          <w:szCs w:val="30"/>
        </w:rPr>
        <w:t>业务</w:t>
      </w:r>
      <w:r>
        <w:rPr>
          <w:rFonts w:ascii="仿宋" w:eastAsia="仿宋" w:hAnsi="仿宋" w:cs="Times New Roman" w:hint="eastAsia"/>
          <w:color w:val="000000"/>
          <w:sz w:val="32"/>
          <w:szCs w:val="30"/>
        </w:rPr>
        <w:t>规则执行。</w:t>
      </w:r>
    </w:p>
    <w:p w:rsidR="00DA5501" w:rsidRDefault="007C17D1">
      <w:pPr>
        <w:adjustRightInd w:val="0"/>
        <w:snapToGrid w:val="0"/>
        <w:spacing w:line="560" w:lineRule="exact"/>
        <w:ind w:firstLineChars="200" w:firstLine="640"/>
        <w:rPr>
          <w:rFonts w:ascii="仿宋" w:eastAsia="仿宋" w:hAnsi="仿宋" w:cs="Times New Roman"/>
          <w:color w:val="000000"/>
          <w:kern w:val="0"/>
          <w:sz w:val="32"/>
          <w:szCs w:val="30"/>
        </w:rPr>
      </w:pPr>
      <w:r>
        <w:rPr>
          <w:rFonts w:ascii="仿宋" w:eastAsia="仿宋" w:hAnsi="仿宋" w:cs="Times New Roman" w:hint="eastAsia"/>
          <w:color w:val="000000"/>
          <w:sz w:val="32"/>
          <w:szCs w:val="30"/>
        </w:rPr>
        <w:t>非公开发行公司债券挂牌条件确认的申请文件编制，</w:t>
      </w:r>
      <w:r>
        <w:rPr>
          <w:rFonts w:ascii="仿宋" w:eastAsia="仿宋" w:hAnsi="仿宋" w:cs="Times New Roman" w:hint="eastAsia"/>
          <w:color w:val="000000"/>
          <w:kern w:val="0"/>
          <w:sz w:val="32"/>
          <w:szCs w:val="30"/>
        </w:rPr>
        <w:t>参照适用本指引，但本所另有规定的除外。</w:t>
      </w:r>
    </w:p>
    <w:p w:rsidR="002D418A" w:rsidRDefault="002D418A" w:rsidP="002D418A">
      <w:pPr>
        <w:adjustRightInd w:val="0"/>
        <w:snapToGrid w:val="0"/>
        <w:spacing w:line="560" w:lineRule="exact"/>
        <w:ind w:firstLineChars="200" w:firstLine="640"/>
        <w:rPr>
          <w:rFonts w:ascii="仿宋" w:eastAsia="仿宋" w:hAnsi="仿宋" w:cs="Times New Roman"/>
          <w:color w:val="000000"/>
          <w:sz w:val="32"/>
          <w:szCs w:val="30"/>
        </w:rPr>
      </w:pPr>
      <w:r w:rsidRPr="002D418A">
        <w:rPr>
          <w:rFonts w:ascii="仿宋" w:eastAsia="仿宋" w:hAnsi="仿宋" w:cs="Times New Roman" w:hint="eastAsia"/>
          <w:color w:val="000000"/>
          <w:sz w:val="32"/>
          <w:szCs w:val="30"/>
        </w:rPr>
        <w:t>上市公司、股票公开转让的非上市公众公司发行附认股权、可转换成股票条款的公司债券的审核，不适用本指引。</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中国证监会、本所对特定行业企业发行公司债券或者公司债券创新品种另有规定的，从其规定。</w:t>
      </w:r>
    </w:p>
    <w:p w:rsidR="00DA5501" w:rsidRDefault="007C17D1">
      <w:pPr>
        <w:adjustRightInd w:val="0"/>
        <w:snapToGrid w:val="0"/>
        <w:spacing w:line="560" w:lineRule="exact"/>
        <w:ind w:firstLineChars="200" w:firstLine="643"/>
        <w:rPr>
          <w:rFonts w:ascii="仿宋_GB2312" w:eastAsia="仿宋_GB2312" w:hAnsi="Times New Roman" w:cs="Times New Roman"/>
          <w:color w:val="000000"/>
          <w:sz w:val="32"/>
          <w:szCs w:val="30"/>
        </w:rPr>
      </w:pPr>
      <w:r>
        <w:rPr>
          <w:rFonts w:ascii="仿宋" w:eastAsia="仿宋" w:hAnsi="仿宋" w:cs="Times New Roman" w:hint="eastAsia"/>
          <w:b/>
          <w:color w:val="000000"/>
          <w:sz w:val="32"/>
          <w:szCs w:val="30"/>
        </w:rPr>
        <w:t>第三条</w:t>
      </w:r>
      <w:r>
        <w:rPr>
          <w:rFonts w:ascii="仿宋" w:eastAsia="仿宋" w:hAnsi="仿宋" w:cs="Times New Roman" w:hint="eastAsia"/>
          <w:color w:val="000000"/>
          <w:sz w:val="32"/>
          <w:szCs w:val="30"/>
        </w:rPr>
        <w:t xml:space="preserve"> 发行人、主承销商和证券服务机构等应当按照法律法规以及本所业务规则的规定编制申请文件，并在规定的期限内报送或者披露相关申请文件。</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 w:eastAsia="仿宋" w:hAnsi="仿宋" w:cs="Times New Roman" w:hint="eastAsia"/>
          <w:color w:val="000000"/>
          <w:sz w:val="32"/>
          <w:szCs w:val="30"/>
        </w:rPr>
        <w:t>主承销商和</w:t>
      </w:r>
      <w:r>
        <w:rPr>
          <w:rFonts w:ascii="仿宋_GB2312" w:eastAsia="仿宋_GB2312" w:hAnsi="Times New Roman" w:cs="Times New Roman" w:hint="eastAsia"/>
          <w:color w:val="000000"/>
          <w:sz w:val="32"/>
          <w:szCs w:val="30"/>
        </w:rPr>
        <w:t>证券服务机构应当妥善保存客户委托文件、核查和验证资料、工作底稿以及与质量控制、内部管理、业务经营有关的信息和资料。</w:t>
      </w:r>
    </w:p>
    <w:p w:rsidR="00DA5501" w:rsidRDefault="007C17D1">
      <w:pPr>
        <w:adjustRightInd w:val="0"/>
        <w:snapToGrid w:val="0"/>
        <w:spacing w:line="560" w:lineRule="exact"/>
        <w:ind w:firstLineChars="200" w:firstLine="643"/>
        <w:rPr>
          <w:rFonts w:ascii="仿宋_GB2312" w:eastAsia="仿宋_GB2312" w:hAnsi="Times New Roman" w:cs="Times New Roman"/>
          <w:color w:val="000000"/>
          <w:sz w:val="32"/>
          <w:szCs w:val="30"/>
        </w:rPr>
      </w:pPr>
      <w:r>
        <w:rPr>
          <w:rFonts w:ascii="仿宋" w:eastAsia="仿宋" w:hAnsi="仿宋" w:cs="Times New Roman" w:hint="eastAsia"/>
          <w:b/>
          <w:color w:val="000000"/>
          <w:sz w:val="32"/>
          <w:szCs w:val="30"/>
        </w:rPr>
        <w:t>第四条</w:t>
      </w:r>
      <w:r>
        <w:rPr>
          <w:rFonts w:ascii="仿宋" w:eastAsia="仿宋" w:hAnsi="仿宋" w:cs="Times New Roman" w:hint="eastAsia"/>
          <w:color w:val="000000"/>
          <w:sz w:val="32"/>
          <w:szCs w:val="30"/>
        </w:rPr>
        <w:t xml:space="preserve"> </w:t>
      </w:r>
      <w:r>
        <w:rPr>
          <w:rFonts w:ascii="仿宋_GB2312" w:eastAsia="仿宋_GB2312" w:hAnsi="Times New Roman" w:cs="Times New Roman" w:hint="eastAsia"/>
          <w:color w:val="000000"/>
          <w:sz w:val="32"/>
          <w:szCs w:val="30"/>
        </w:rPr>
        <w:t>申请文件前后、各项申请文件之间、本次申请文件与发行人之前证券信息披露文件之间的相关内容和表述应当保持一致。申请文件有外文文本的，应当确保中、外文本内容一致，并在相关申请文件中声明，中、外文本的理解上发生歧义时，以中文文本为准。</w:t>
      </w:r>
    </w:p>
    <w:p w:rsidR="00DA5501" w:rsidRDefault="00DA5501">
      <w:pPr>
        <w:adjustRightInd w:val="0"/>
        <w:snapToGrid w:val="0"/>
        <w:spacing w:line="560" w:lineRule="exact"/>
        <w:ind w:firstLineChars="200" w:firstLine="640"/>
        <w:rPr>
          <w:rFonts w:ascii="仿宋_GB2312" w:eastAsia="仿宋_GB2312" w:hAnsi="Times New Roman" w:cs="Times New Roman"/>
          <w:color w:val="000000"/>
          <w:sz w:val="32"/>
          <w:szCs w:val="30"/>
        </w:rPr>
      </w:pPr>
    </w:p>
    <w:p w:rsidR="00DA5501" w:rsidRDefault="007C17D1">
      <w:pPr>
        <w:adjustRightInd w:val="0"/>
        <w:snapToGrid w:val="0"/>
        <w:spacing w:line="560" w:lineRule="exact"/>
        <w:jc w:val="center"/>
        <w:outlineLvl w:val="0"/>
        <w:rPr>
          <w:rFonts w:ascii="Times New Roman" w:eastAsia="黑体" w:hAnsi="Times New Roman" w:cs="Times New Roman"/>
          <w:bCs/>
          <w:color w:val="000000"/>
          <w:kern w:val="0"/>
          <w:sz w:val="32"/>
          <w:szCs w:val="30"/>
        </w:rPr>
      </w:pPr>
      <w:bookmarkStart w:id="5" w:name="_Toc96687518"/>
      <w:r>
        <w:rPr>
          <w:rFonts w:ascii="Times New Roman" w:eastAsia="黑体" w:hAnsi="Times New Roman" w:cs="Times New Roman" w:hint="eastAsia"/>
          <w:bCs/>
          <w:color w:val="000000"/>
          <w:kern w:val="0"/>
          <w:sz w:val="32"/>
          <w:szCs w:val="30"/>
        </w:rPr>
        <w:t>第二章</w:t>
      </w:r>
      <w:r>
        <w:rPr>
          <w:rFonts w:ascii="Times New Roman" w:eastAsia="黑体" w:hAnsi="Times New Roman" w:cs="Times New Roman"/>
          <w:bCs/>
          <w:color w:val="000000"/>
          <w:kern w:val="0"/>
          <w:sz w:val="32"/>
          <w:szCs w:val="30"/>
        </w:rPr>
        <w:t xml:space="preserve"> </w:t>
      </w:r>
      <w:r>
        <w:rPr>
          <w:rFonts w:ascii="Times New Roman" w:eastAsia="黑体" w:hAnsi="Times New Roman" w:cs="Times New Roman" w:hint="eastAsia"/>
          <w:bCs/>
          <w:color w:val="000000"/>
          <w:kern w:val="0"/>
          <w:sz w:val="32"/>
          <w:szCs w:val="30"/>
        </w:rPr>
        <w:t>申请文件</w:t>
      </w:r>
      <w:bookmarkEnd w:id="5"/>
    </w:p>
    <w:p w:rsidR="00DA5501" w:rsidRDefault="007C17D1">
      <w:pPr>
        <w:adjustRightInd w:val="0"/>
        <w:snapToGrid w:val="0"/>
        <w:spacing w:line="560" w:lineRule="exact"/>
        <w:jc w:val="center"/>
        <w:outlineLvl w:val="1"/>
        <w:rPr>
          <w:rFonts w:ascii="Times New Roman" w:eastAsia="楷体_GB2312" w:hAnsi="Times New Roman" w:cs="Times New Roman"/>
          <w:bCs/>
          <w:color w:val="000000"/>
          <w:kern w:val="0"/>
          <w:sz w:val="32"/>
          <w:szCs w:val="30"/>
        </w:rPr>
      </w:pPr>
      <w:bookmarkStart w:id="6" w:name="_Toc96687519"/>
      <w:r>
        <w:rPr>
          <w:rFonts w:ascii="Times New Roman" w:eastAsia="楷体_GB2312" w:hAnsi="Times New Roman" w:cs="Times New Roman" w:hint="eastAsia"/>
          <w:bCs/>
          <w:color w:val="000000"/>
          <w:kern w:val="0"/>
          <w:sz w:val="32"/>
          <w:szCs w:val="30"/>
        </w:rPr>
        <w:t>第一节</w:t>
      </w:r>
      <w:r>
        <w:rPr>
          <w:rFonts w:ascii="Times New Roman" w:eastAsia="楷体_GB2312" w:hAnsi="Times New Roman" w:cs="Times New Roman"/>
          <w:bCs/>
          <w:color w:val="000000"/>
          <w:kern w:val="0"/>
          <w:sz w:val="32"/>
          <w:szCs w:val="30"/>
        </w:rPr>
        <w:t xml:space="preserve"> </w:t>
      </w:r>
      <w:r>
        <w:rPr>
          <w:rFonts w:ascii="Times New Roman" w:eastAsia="楷体_GB2312" w:hAnsi="Times New Roman" w:cs="Times New Roman" w:hint="eastAsia"/>
          <w:bCs/>
          <w:color w:val="000000"/>
          <w:kern w:val="0"/>
          <w:sz w:val="32"/>
          <w:szCs w:val="30"/>
        </w:rPr>
        <w:t>申请文件清单</w:t>
      </w:r>
      <w:bookmarkEnd w:id="6"/>
    </w:p>
    <w:p w:rsidR="00DA5501" w:rsidRDefault="007C17D1">
      <w:pPr>
        <w:adjustRightInd w:val="0"/>
        <w:snapToGrid w:val="0"/>
        <w:spacing w:line="560" w:lineRule="exact"/>
        <w:ind w:firstLineChars="200" w:firstLine="643"/>
        <w:rPr>
          <w:rFonts w:ascii="仿宋_GB2312" w:eastAsia="仿宋_GB2312" w:hAnsi="Times New Roman" w:cs="Times New Roman"/>
          <w:b/>
          <w:color w:val="000000"/>
          <w:sz w:val="32"/>
          <w:szCs w:val="30"/>
        </w:rPr>
      </w:pPr>
      <w:r>
        <w:rPr>
          <w:rFonts w:ascii="仿宋_GB2312" w:eastAsia="仿宋_GB2312" w:hAnsi="Times New Roman" w:cs="Times New Roman" w:hint="eastAsia"/>
          <w:b/>
          <w:color w:val="000000"/>
          <w:sz w:val="32"/>
          <w:szCs w:val="30"/>
        </w:rPr>
        <w:t>第五条</w:t>
      </w:r>
      <w:r>
        <w:rPr>
          <w:rFonts w:ascii="仿宋_GB2312" w:eastAsia="仿宋_GB2312" w:hAnsi="Times New Roman" w:cs="Times New Roman" w:hint="eastAsia"/>
          <w:color w:val="000000"/>
          <w:sz w:val="32"/>
          <w:szCs w:val="30"/>
        </w:rPr>
        <w:t xml:space="preserve"> 发行人、主承销商和证券服务机构应当严格按照《24</w:t>
      </w:r>
      <w:r>
        <w:rPr>
          <w:rFonts w:ascii="仿宋_GB2312" w:eastAsia="仿宋_GB2312" w:hAnsi="Times New Roman" w:cs="Times New Roman" w:hint="eastAsia"/>
          <w:color w:val="000000"/>
          <w:sz w:val="32"/>
          <w:szCs w:val="30"/>
        </w:rPr>
        <w:lastRenderedPageBreak/>
        <w:t>号准则》以及本指引的规定报送申请文件。《24号准则》和本指引的规定对发行人、主承销商和证券服务机构等确不适用的，可以根据实际情况进行调整，并在报送时作出相应说明。</w:t>
      </w:r>
    </w:p>
    <w:p w:rsidR="00DA5501" w:rsidRDefault="007C17D1">
      <w:pPr>
        <w:adjustRightInd w:val="0"/>
        <w:snapToGrid w:val="0"/>
        <w:spacing w:line="560" w:lineRule="exact"/>
        <w:ind w:firstLineChars="200" w:firstLine="643"/>
        <w:rPr>
          <w:rFonts w:ascii="仿宋_GB2312" w:eastAsia="仿宋_GB2312" w:hAnsi="Times New Roman" w:cs="Times New Roman"/>
          <w:color w:val="000000"/>
          <w:sz w:val="32"/>
          <w:szCs w:val="30"/>
        </w:rPr>
      </w:pPr>
      <w:r>
        <w:rPr>
          <w:rFonts w:ascii="仿宋_GB2312" w:eastAsia="仿宋_GB2312" w:hAnsi="Times New Roman" w:cs="Times New Roman" w:hint="eastAsia"/>
          <w:b/>
          <w:color w:val="000000"/>
          <w:sz w:val="32"/>
          <w:szCs w:val="30"/>
        </w:rPr>
        <w:t>第六条</w:t>
      </w:r>
      <w:r>
        <w:rPr>
          <w:rFonts w:ascii="仿宋_GB2312" w:eastAsia="仿宋_GB2312" w:hAnsi="Times New Roman" w:cs="Times New Roman" w:hint="eastAsia"/>
          <w:color w:val="000000"/>
          <w:sz w:val="32"/>
          <w:szCs w:val="30"/>
        </w:rPr>
        <w:t xml:space="preserve"> 发行人申请公开发行公司债券并上市，应当向本所提交下列发行上市申请文件：</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（一）募集说明书；</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（二）募集说明书摘要（如有）；</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（三）发行人关于本次债券公开发行并上市的申请报告；</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（四）发行人董事会、股东会或者股东大会（或者法律法规以及公司章程规定的有权机构）关于本次债券发行并上市事项的决议；</w:t>
      </w:r>
    </w:p>
    <w:p w:rsidR="00DA5501" w:rsidRDefault="007C17D1">
      <w:pPr>
        <w:numPr>
          <w:ilvl w:val="0"/>
          <w:numId w:val="1"/>
        </w:num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监事会对募集说明书真实性、准确性、完整性的审核意见；</w:t>
      </w:r>
    </w:p>
    <w:p w:rsidR="00DA5501" w:rsidRDefault="007C17D1">
      <w:pPr>
        <w:numPr>
          <w:ilvl w:val="0"/>
          <w:numId w:val="1"/>
        </w:num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主承销商核查意见；</w:t>
      </w:r>
    </w:p>
    <w:p w:rsidR="00DA5501" w:rsidRDefault="007C17D1">
      <w:pPr>
        <w:numPr>
          <w:ilvl w:val="0"/>
          <w:numId w:val="1"/>
        </w:num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法律意见书；</w:t>
      </w:r>
    </w:p>
    <w:p w:rsidR="00DA5501" w:rsidRDefault="007C17D1">
      <w:pPr>
        <w:numPr>
          <w:ilvl w:val="0"/>
          <w:numId w:val="1"/>
        </w:num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律师关于申请电子文件与预留原件一致的鉴证意见；</w:t>
      </w:r>
    </w:p>
    <w:p w:rsidR="00DA5501" w:rsidRDefault="007C17D1">
      <w:pPr>
        <w:numPr>
          <w:ilvl w:val="0"/>
          <w:numId w:val="1"/>
        </w:num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发行人营业执照</w:t>
      </w:r>
      <w:r w:rsidR="000968AD">
        <w:rPr>
          <w:rFonts w:ascii="仿宋_GB2312" w:eastAsia="仿宋_GB2312" w:hAnsi="Times New Roman" w:cs="Times New Roman" w:hint="eastAsia"/>
          <w:color w:val="000000"/>
          <w:sz w:val="32"/>
          <w:szCs w:val="30"/>
        </w:rPr>
        <w:t>和</w:t>
      </w:r>
      <w:r>
        <w:rPr>
          <w:rFonts w:ascii="仿宋_GB2312" w:eastAsia="仿宋_GB2312" w:hAnsi="Times New Roman" w:cs="Times New Roman" w:hint="eastAsia"/>
          <w:color w:val="000000"/>
          <w:sz w:val="32"/>
          <w:szCs w:val="30"/>
        </w:rPr>
        <w:t>公司章程；</w:t>
      </w:r>
    </w:p>
    <w:p w:rsidR="00DA5501" w:rsidRDefault="007C17D1">
      <w:pPr>
        <w:numPr>
          <w:ilvl w:val="0"/>
          <w:numId w:val="1"/>
        </w:numPr>
        <w:adjustRightInd w:val="0"/>
        <w:snapToGrid w:val="0"/>
        <w:spacing w:line="560" w:lineRule="exact"/>
        <w:ind w:firstLineChars="200" w:firstLine="640"/>
        <w:rPr>
          <w:rFonts w:ascii="仿宋" w:eastAsia="仿宋" w:hAnsi="仿宋" w:cs="Times New Roman"/>
          <w:color w:val="000000"/>
          <w:sz w:val="32"/>
          <w:szCs w:val="30"/>
        </w:rPr>
      </w:pPr>
      <w:r>
        <w:rPr>
          <w:rFonts w:ascii="仿宋_GB2312" w:eastAsia="仿宋_GB2312" w:hAnsi="Times New Roman" w:cs="Times New Roman" w:hint="eastAsia"/>
          <w:color w:val="000000"/>
          <w:sz w:val="32"/>
          <w:szCs w:val="30"/>
        </w:rPr>
        <w:t>发行人最近三年的财务报告和审计报告、最近一期的财务报告或者财务报表</w:t>
      </w:r>
      <w:r>
        <w:rPr>
          <w:rFonts w:ascii="仿宋" w:eastAsia="仿宋" w:hAnsi="仿宋" w:cs="Times New Roman" w:hint="eastAsia"/>
          <w:color w:val="000000"/>
          <w:sz w:val="32"/>
          <w:szCs w:val="30"/>
        </w:rPr>
        <w:t>；</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（十一）发行人董事会（或者法律法规</w:t>
      </w:r>
      <w:r w:rsidR="00A253D5">
        <w:rPr>
          <w:rFonts w:ascii="仿宋_GB2312" w:eastAsia="仿宋_GB2312" w:hAnsi="Times New Roman" w:cs="Times New Roman" w:hint="eastAsia"/>
          <w:color w:val="000000"/>
          <w:sz w:val="32"/>
          <w:szCs w:val="30"/>
        </w:rPr>
        <w:t>和</w:t>
      </w:r>
      <w:r>
        <w:rPr>
          <w:rFonts w:ascii="仿宋_GB2312" w:eastAsia="仿宋_GB2312" w:hAnsi="Times New Roman" w:cs="Times New Roman" w:hint="eastAsia"/>
          <w:color w:val="000000"/>
          <w:sz w:val="32"/>
          <w:szCs w:val="30"/>
        </w:rPr>
        <w:t>公司章程规定的有权机构）、会计师事务所以及注册会计师关于非标准意见审计报告的补充意见（如有）；</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lastRenderedPageBreak/>
        <w:t>（十二）本次债券募集资金使用的有关文件；</w:t>
      </w:r>
    </w:p>
    <w:p w:rsidR="00DA5501" w:rsidRDefault="00C0114C">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（十三）债券受托管理协议</w:t>
      </w:r>
      <w:r w:rsidR="007C17D1">
        <w:rPr>
          <w:rFonts w:ascii="仿宋_GB2312" w:eastAsia="仿宋_GB2312" w:hAnsi="Times New Roman" w:cs="Times New Roman" w:hint="eastAsia"/>
          <w:color w:val="000000"/>
          <w:sz w:val="32"/>
          <w:szCs w:val="30"/>
        </w:rPr>
        <w:t>；</w:t>
      </w:r>
    </w:p>
    <w:p w:rsidR="00DA5501" w:rsidRDefault="00C0114C">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（十四）债券持有人会议规则</w:t>
      </w:r>
      <w:r w:rsidR="007C17D1">
        <w:rPr>
          <w:rFonts w:ascii="仿宋_GB2312" w:eastAsia="仿宋_GB2312" w:hAnsi="Times New Roman" w:cs="Times New Roman" w:hint="eastAsia"/>
          <w:color w:val="000000"/>
          <w:sz w:val="32"/>
          <w:szCs w:val="30"/>
        </w:rPr>
        <w:t>；</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（十五）资信评级机构为本次发行公司债券出具的资信评级报告（如有）；</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（十六）本次发行公司债券的担保合同、担保函、担保人就提供担保获得的授权文件（如有）；担保财产的资产评估文件或者其他增信措施文件（如有）；</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（十七）</w:t>
      </w:r>
      <w:r w:rsidR="00C0114C">
        <w:rPr>
          <w:rFonts w:ascii="仿宋_GB2312" w:eastAsia="仿宋_GB2312" w:hAnsi="Times New Roman" w:cs="Times New Roman" w:hint="eastAsia"/>
          <w:color w:val="000000"/>
          <w:sz w:val="32"/>
          <w:szCs w:val="30"/>
        </w:rPr>
        <w:t>担保</w:t>
      </w:r>
      <w:r>
        <w:rPr>
          <w:rFonts w:ascii="仿宋_GB2312" w:eastAsia="仿宋_GB2312" w:hAnsi="Times New Roman" w:cs="Times New Roman" w:hint="eastAsia"/>
          <w:color w:val="000000"/>
          <w:sz w:val="32"/>
          <w:szCs w:val="30"/>
        </w:rPr>
        <w:t>人最近一年的财务报告（注明是否经审计）以及最近一期的财务报告或者财务报表（如有）；</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（十八）特定行业主管部门出具的监管意见书；</w:t>
      </w:r>
    </w:p>
    <w:p w:rsidR="00DA5501" w:rsidRDefault="007C17D1">
      <w:pPr>
        <w:numPr>
          <w:ilvl w:val="0"/>
          <w:numId w:val="2"/>
        </w:num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发行人董事、监事和高级管理人员对发行申请文件真实性、准确性和完整性的确认意见；</w:t>
      </w:r>
    </w:p>
    <w:p w:rsidR="00DA5501" w:rsidRDefault="007C17D1">
      <w:pPr>
        <w:numPr>
          <w:ilvl w:val="0"/>
          <w:numId w:val="2"/>
        </w:num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发行人关于申请文件不适用情况的说明（如有）；</w:t>
      </w:r>
    </w:p>
    <w:p w:rsidR="00DA5501" w:rsidRDefault="007C17D1">
      <w:pPr>
        <w:numPr>
          <w:ilvl w:val="0"/>
          <w:numId w:val="2"/>
        </w:num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发行人信息披露豁免申请（如有）；</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（二十二）发行人</w:t>
      </w:r>
      <w:r w:rsidR="00C0114C">
        <w:rPr>
          <w:rFonts w:ascii="仿宋_GB2312" w:eastAsia="仿宋_GB2312" w:hAnsi="Times New Roman" w:cs="Times New Roman" w:hint="eastAsia"/>
          <w:color w:val="000000"/>
          <w:sz w:val="32"/>
          <w:szCs w:val="30"/>
        </w:rPr>
        <w:t>和</w:t>
      </w:r>
      <w:r>
        <w:rPr>
          <w:rFonts w:ascii="仿宋_GB2312" w:eastAsia="仿宋_GB2312" w:hAnsi="Times New Roman" w:cs="Times New Roman" w:hint="eastAsia"/>
          <w:color w:val="000000"/>
          <w:sz w:val="32"/>
          <w:szCs w:val="30"/>
        </w:rPr>
        <w:t>主承销商关于申请</w:t>
      </w:r>
      <w:r w:rsidR="00C0114C">
        <w:rPr>
          <w:rFonts w:ascii="仿宋_GB2312" w:eastAsia="仿宋_GB2312" w:hAnsi="Times New Roman" w:cs="Times New Roman" w:hint="eastAsia"/>
          <w:color w:val="000000"/>
          <w:sz w:val="32"/>
          <w:szCs w:val="30"/>
        </w:rPr>
        <w:t>电子</w:t>
      </w:r>
      <w:r>
        <w:rPr>
          <w:rFonts w:ascii="仿宋_GB2312" w:eastAsia="仿宋_GB2312" w:hAnsi="Times New Roman" w:cs="Times New Roman" w:hint="eastAsia"/>
          <w:color w:val="000000"/>
          <w:sz w:val="32"/>
          <w:szCs w:val="30"/>
        </w:rPr>
        <w:t>文件与</w:t>
      </w:r>
      <w:r w:rsidR="00C0114C">
        <w:rPr>
          <w:rFonts w:ascii="仿宋_GB2312" w:eastAsia="仿宋_GB2312" w:hAnsi="Times New Roman" w:cs="Times New Roman" w:hint="eastAsia"/>
          <w:color w:val="000000"/>
          <w:sz w:val="32"/>
          <w:szCs w:val="30"/>
        </w:rPr>
        <w:t>预留原件</w:t>
      </w:r>
      <w:r>
        <w:rPr>
          <w:rFonts w:ascii="仿宋_GB2312" w:eastAsia="仿宋_GB2312" w:hAnsi="Times New Roman" w:cs="Times New Roman" w:hint="eastAsia"/>
          <w:color w:val="000000"/>
          <w:sz w:val="32"/>
          <w:szCs w:val="30"/>
        </w:rPr>
        <w:t>一致的承诺函；</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（二十三）主承销商关注事项核查对照表；</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（二十四）主承销商</w:t>
      </w:r>
      <w:r w:rsidR="000968AD">
        <w:rPr>
          <w:rFonts w:ascii="仿宋_GB2312" w:eastAsia="仿宋_GB2312" w:hAnsi="Times New Roman" w:cs="Times New Roman" w:hint="eastAsia"/>
          <w:color w:val="000000"/>
          <w:sz w:val="32"/>
          <w:szCs w:val="30"/>
        </w:rPr>
        <w:t>和</w:t>
      </w:r>
      <w:r>
        <w:rPr>
          <w:rFonts w:ascii="仿宋_GB2312" w:eastAsia="仿宋_GB2312" w:hAnsi="Times New Roman" w:cs="Times New Roman" w:hint="eastAsia"/>
          <w:color w:val="000000"/>
          <w:sz w:val="32"/>
          <w:szCs w:val="30"/>
        </w:rPr>
        <w:t>项目负责人近两年内承销债券违约情况；</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（二十五）发行人、主承销商和证券服务机构联系表；</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（二十六）诚信信息查询情况表；</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lastRenderedPageBreak/>
        <w:t>（二十七）本所</w:t>
      </w:r>
      <w:r w:rsidR="002D418A">
        <w:rPr>
          <w:rFonts w:ascii="仿宋_GB2312" w:eastAsia="仿宋_GB2312" w:hAnsi="Times New Roman" w:cs="Times New Roman" w:hint="eastAsia"/>
          <w:color w:val="000000"/>
          <w:sz w:val="32"/>
          <w:szCs w:val="30"/>
        </w:rPr>
        <w:t>要求</w:t>
      </w:r>
      <w:r>
        <w:rPr>
          <w:rFonts w:ascii="仿宋_GB2312" w:eastAsia="仿宋_GB2312" w:hAnsi="Times New Roman" w:cs="Times New Roman" w:hint="eastAsia"/>
          <w:color w:val="000000"/>
          <w:sz w:val="32"/>
          <w:szCs w:val="30"/>
        </w:rPr>
        <w:t>的其他文件。</w:t>
      </w:r>
    </w:p>
    <w:p w:rsidR="00DA5501" w:rsidRDefault="007C17D1">
      <w:pPr>
        <w:adjustRightInd w:val="0"/>
        <w:snapToGrid w:val="0"/>
        <w:spacing w:line="560" w:lineRule="exact"/>
        <w:ind w:firstLineChars="200" w:firstLine="643"/>
        <w:rPr>
          <w:rFonts w:ascii="仿宋_GB2312" w:eastAsia="仿宋_GB2312" w:hAnsi="Times New Roman" w:cs="Times New Roman"/>
          <w:color w:val="000000"/>
          <w:sz w:val="32"/>
          <w:szCs w:val="30"/>
        </w:rPr>
      </w:pPr>
      <w:r>
        <w:rPr>
          <w:rFonts w:ascii="仿宋_GB2312" w:eastAsia="仿宋_GB2312" w:hAnsi="Times New Roman" w:cs="Times New Roman" w:hint="eastAsia"/>
          <w:b/>
          <w:color w:val="000000"/>
          <w:sz w:val="32"/>
          <w:szCs w:val="30"/>
        </w:rPr>
        <w:t>第七条</w:t>
      </w:r>
      <w:r>
        <w:rPr>
          <w:rFonts w:ascii="仿宋_GB2312" w:eastAsia="仿宋_GB2312" w:hAnsi="Times New Roman" w:cs="Times New Roman" w:hint="eastAsia"/>
          <w:color w:val="000000"/>
          <w:sz w:val="32"/>
          <w:szCs w:val="30"/>
        </w:rPr>
        <w:t xml:space="preserve"> 发行人有权机构作出的决议，可以是发行相关债券或者债务融资工具的一揽子决议。决议原则上应当就本次公开发行公司债券事项予以明确或者授权相关机构明确，包括但不限于发行金额、期限、发行方式、募集资金用途。法律法规另有规定的，从其规定。</w:t>
      </w:r>
    </w:p>
    <w:p w:rsidR="00DA5501" w:rsidRDefault="007C17D1">
      <w:pPr>
        <w:adjustRightInd w:val="0"/>
        <w:snapToGrid w:val="0"/>
        <w:spacing w:line="560" w:lineRule="exact"/>
        <w:ind w:firstLineChars="200" w:firstLine="643"/>
        <w:rPr>
          <w:rFonts w:ascii="仿宋_GB2312" w:eastAsia="仿宋" w:hAnsi="Times New Roman" w:cs="Times New Roman"/>
          <w:color w:val="000000"/>
          <w:sz w:val="32"/>
          <w:szCs w:val="30"/>
        </w:rPr>
      </w:pPr>
      <w:r>
        <w:rPr>
          <w:rFonts w:ascii="仿宋_GB2312" w:eastAsia="仿宋_GB2312" w:hAnsi="Times New Roman" w:cs="Times New Roman" w:hint="eastAsia"/>
          <w:b/>
          <w:color w:val="000000"/>
          <w:sz w:val="32"/>
          <w:szCs w:val="30"/>
        </w:rPr>
        <w:t>第八条</w:t>
      </w:r>
      <w:r>
        <w:rPr>
          <w:rFonts w:ascii="仿宋_GB2312" w:eastAsia="仿宋_GB2312" w:hAnsi="Times New Roman" w:cs="Times New Roman" w:hint="eastAsia"/>
          <w:color w:val="000000"/>
          <w:sz w:val="32"/>
          <w:szCs w:val="30"/>
        </w:rPr>
        <w:t xml:space="preserve"> </w:t>
      </w:r>
      <w:r>
        <w:rPr>
          <w:rFonts w:ascii="仿宋" w:eastAsia="仿宋" w:hAnsi="仿宋" w:cs="Times New Roman" w:hint="eastAsia"/>
          <w:color w:val="000000"/>
          <w:sz w:val="32"/>
          <w:szCs w:val="30"/>
        </w:rPr>
        <w:t>最近三年内发生过导致公司主营业务和经营性资产发生实质变更的重大资产购买、出售、置换（以下简称重大资产重组）的发行人，同时应当提供重组前一年的备考财务报告以及审计或者审阅报告和重组进入公司的资产的财务报告、资产评估报告和/或者审计报告。</w:t>
      </w:r>
    </w:p>
    <w:p w:rsidR="00DA5501" w:rsidRDefault="007C17D1">
      <w:pPr>
        <w:adjustRightInd w:val="0"/>
        <w:snapToGrid w:val="0"/>
        <w:spacing w:line="560" w:lineRule="exact"/>
        <w:ind w:firstLineChars="200" w:firstLine="643"/>
        <w:rPr>
          <w:rFonts w:ascii="仿宋_GB2312" w:eastAsia="仿宋_GB2312" w:hAnsi="Times New Roman" w:cs="Times New Roman"/>
          <w:color w:val="000000"/>
          <w:sz w:val="32"/>
          <w:szCs w:val="30"/>
        </w:rPr>
      </w:pPr>
      <w:r>
        <w:rPr>
          <w:rFonts w:ascii="仿宋_GB2312" w:eastAsia="仿宋_GB2312" w:hAnsi="Times New Roman" w:cs="Times New Roman" w:hint="eastAsia"/>
          <w:b/>
          <w:color w:val="000000"/>
          <w:sz w:val="32"/>
          <w:szCs w:val="30"/>
        </w:rPr>
        <w:t>第九条</w:t>
      </w:r>
      <w:r>
        <w:rPr>
          <w:rFonts w:ascii="仿宋_GB2312" w:eastAsia="仿宋_GB2312" w:hAnsi="Times New Roman" w:cs="Times New Roman" w:hint="eastAsia"/>
          <w:color w:val="000000"/>
          <w:sz w:val="32"/>
          <w:szCs w:val="30"/>
        </w:rPr>
        <w:t xml:space="preserve"> 募集资金用于特定项目（包括项目投资、股权投资、收购资产等），且涉及立项、土地、环保等需要报主管部门批准或者需要签署协议并报主管部门批准的，应当提交主管部门批准文件、签署的协议等</w:t>
      </w:r>
      <w:r w:rsidR="002D418A">
        <w:rPr>
          <w:rFonts w:ascii="仿宋_GB2312" w:eastAsia="仿宋_GB2312" w:hAnsi="Times New Roman" w:cs="Times New Roman" w:hint="eastAsia"/>
          <w:color w:val="000000"/>
          <w:sz w:val="32"/>
          <w:szCs w:val="30"/>
        </w:rPr>
        <w:t>文件</w:t>
      </w:r>
      <w:r>
        <w:rPr>
          <w:rFonts w:ascii="仿宋_GB2312" w:eastAsia="仿宋_GB2312" w:hAnsi="Times New Roman" w:cs="Times New Roman" w:hint="eastAsia"/>
          <w:color w:val="000000"/>
          <w:sz w:val="32"/>
          <w:szCs w:val="30"/>
        </w:rPr>
        <w:t>;尚未取得主管部门批准或者尚未签署协议的，应当提交情况说明。</w:t>
      </w:r>
    </w:p>
    <w:p w:rsidR="00DA5501" w:rsidRDefault="007C17D1">
      <w:pPr>
        <w:adjustRightInd w:val="0"/>
        <w:snapToGrid w:val="0"/>
        <w:spacing w:line="560" w:lineRule="exact"/>
        <w:ind w:firstLineChars="200" w:firstLine="643"/>
        <w:rPr>
          <w:rFonts w:ascii="仿宋_GB2312" w:eastAsia="仿宋_GB2312" w:hAnsi="Times New Roman" w:cs="Times New Roman"/>
          <w:color w:val="000000"/>
          <w:sz w:val="32"/>
          <w:szCs w:val="30"/>
        </w:rPr>
      </w:pPr>
      <w:r>
        <w:rPr>
          <w:rFonts w:ascii="仿宋_GB2312" w:eastAsia="仿宋_GB2312" w:hAnsi="Times New Roman" w:cs="Times New Roman" w:hint="eastAsia"/>
          <w:b/>
          <w:color w:val="000000"/>
          <w:sz w:val="32"/>
          <w:szCs w:val="30"/>
        </w:rPr>
        <w:t>第十条</w:t>
      </w:r>
      <w:r>
        <w:rPr>
          <w:rFonts w:ascii="仿宋_GB2312" w:eastAsia="仿宋_GB2312" w:hAnsi="Times New Roman" w:cs="Times New Roman" w:hint="eastAsia"/>
          <w:color w:val="000000"/>
          <w:sz w:val="32"/>
          <w:szCs w:val="30"/>
        </w:rPr>
        <w:t xml:space="preserve"> 金融企业</w:t>
      </w:r>
      <w:r>
        <w:rPr>
          <w:rFonts w:ascii="仿宋" w:eastAsia="仿宋" w:hAnsi="仿宋" w:cs="Times New Roman" w:hint="eastAsia"/>
          <w:color w:val="000000"/>
          <w:kern w:val="0"/>
          <w:sz w:val="32"/>
          <w:szCs w:val="30"/>
          <w:lang w:bidi="en-US"/>
        </w:rPr>
        <w:t>（含商业银行类、证券公司类、商业保险类等）</w:t>
      </w:r>
      <w:r>
        <w:rPr>
          <w:rFonts w:ascii="仿宋_GB2312" w:eastAsia="仿宋_GB2312" w:hAnsi="Times New Roman" w:cs="Times New Roman" w:hint="eastAsia"/>
          <w:color w:val="000000"/>
          <w:sz w:val="32"/>
          <w:szCs w:val="30"/>
        </w:rPr>
        <w:t>等发行公司债券按规定需金融监管部门出具监管意见的，应当提交金融监管部门的监管意见书。</w:t>
      </w:r>
    </w:p>
    <w:p w:rsidR="00DA5501" w:rsidRDefault="007C17D1">
      <w:pPr>
        <w:adjustRightInd w:val="0"/>
        <w:snapToGrid w:val="0"/>
        <w:spacing w:line="560" w:lineRule="exact"/>
        <w:ind w:firstLineChars="200" w:firstLine="643"/>
        <w:rPr>
          <w:rFonts w:ascii="仿宋_GB2312" w:eastAsia="仿宋_GB2312" w:hAnsi="Times New Roman" w:cs="Times New Roman"/>
          <w:color w:val="000000"/>
          <w:sz w:val="32"/>
          <w:szCs w:val="30"/>
        </w:rPr>
      </w:pPr>
      <w:r>
        <w:rPr>
          <w:rFonts w:ascii="仿宋_GB2312" w:eastAsia="仿宋_GB2312" w:hAnsi="Times New Roman" w:cs="Times New Roman" w:hint="eastAsia"/>
          <w:b/>
          <w:color w:val="000000"/>
          <w:sz w:val="32"/>
          <w:szCs w:val="30"/>
        </w:rPr>
        <w:t>第十一条</w:t>
      </w:r>
      <w:r>
        <w:rPr>
          <w:rFonts w:ascii="仿宋_GB2312" w:eastAsia="仿宋_GB2312" w:hAnsi="Times New Roman" w:cs="Times New Roman" w:hint="eastAsia"/>
          <w:color w:val="000000"/>
          <w:sz w:val="32"/>
          <w:szCs w:val="30"/>
        </w:rPr>
        <w:t xml:space="preserve"> 可交换公司债券还应当提交中国证券登记结算有限责任公司深圳分公司出具的发行人证券持有信息表，以及发行人和</w:t>
      </w:r>
      <w:r w:rsidR="00E71194">
        <w:rPr>
          <w:rFonts w:ascii="仿宋_GB2312" w:eastAsia="仿宋_GB2312" w:hAnsi="Times New Roman" w:cs="Times New Roman" w:hint="eastAsia"/>
          <w:color w:val="000000"/>
          <w:sz w:val="32"/>
          <w:szCs w:val="30"/>
        </w:rPr>
        <w:t>主</w:t>
      </w:r>
      <w:r>
        <w:rPr>
          <w:rFonts w:ascii="仿宋_GB2312" w:eastAsia="仿宋_GB2312" w:hAnsi="Times New Roman" w:cs="Times New Roman" w:hint="eastAsia"/>
          <w:color w:val="000000"/>
          <w:sz w:val="32"/>
          <w:szCs w:val="30"/>
        </w:rPr>
        <w:t>承销商关于标的股票相关事项承诺书。</w:t>
      </w:r>
    </w:p>
    <w:p w:rsidR="00DA5501" w:rsidRDefault="007C17D1">
      <w:pPr>
        <w:adjustRightInd w:val="0"/>
        <w:snapToGrid w:val="0"/>
        <w:spacing w:line="560" w:lineRule="exact"/>
        <w:jc w:val="center"/>
        <w:outlineLvl w:val="1"/>
        <w:rPr>
          <w:rFonts w:ascii="Times New Roman" w:eastAsia="楷体_GB2312" w:hAnsi="Times New Roman" w:cs="Times New Roman"/>
          <w:bCs/>
          <w:color w:val="000000"/>
          <w:kern w:val="0"/>
          <w:sz w:val="32"/>
          <w:szCs w:val="30"/>
        </w:rPr>
      </w:pPr>
      <w:bookmarkStart w:id="7" w:name="_Toc96687520"/>
      <w:r>
        <w:rPr>
          <w:rFonts w:ascii="Times New Roman" w:eastAsia="楷体_GB2312" w:hAnsi="Times New Roman" w:cs="Times New Roman" w:hint="eastAsia"/>
          <w:bCs/>
          <w:color w:val="000000"/>
          <w:kern w:val="0"/>
          <w:sz w:val="32"/>
          <w:szCs w:val="30"/>
        </w:rPr>
        <w:lastRenderedPageBreak/>
        <w:t>第二节</w:t>
      </w:r>
      <w:r>
        <w:rPr>
          <w:rFonts w:ascii="Times New Roman" w:eastAsia="楷体_GB2312" w:hAnsi="Times New Roman" w:cs="Times New Roman"/>
          <w:bCs/>
          <w:color w:val="000000"/>
          <w:kern w:val="0"/>
          <w:sz w:val="32"/>
          <w:szCs w:val="30"/>
        </w:rPr>
        <w:t xml:space="preserve"> </w:t>
      </w:r>
      <w:r>
        <w:rPr>
          <w:rFonts w:ascii="Times New Roman" w:eastAsia="楷体_GB2312" w:hAnsi="Times New Roman" w:cs="Times New Roman" w:hint="eastAsia"/>
          <w:bCs/>
          <w:color w:val="000000"/>
          <w:kern w:val="0"/>
          <w:sz w:val="32"/>
          <w:szCs w:val="30"/>
        </w:rPr>
        <w:t>财务报</w:t>
      </w:r>
      <w:r w:rsidR="000968AD">
        <w:rPr>
          <w:rFonts w:ascii="Times New Roman" w:eastAsia="楷体_GB2312" w:hAnsi="Times New Roman" w:cs="Times New Roman" w:hint="eastAsia"/>
          <w:bCs/>
          <w:color w:val="000000"/>
          <w:kern w:val="0"/>
          <w:sz w:val="32"/>
          <w:szCs w:val="30"/>
        </w:rPr>
        <w:t>表</w:t>
      </w:r>
      <w:r>
        <w:rPr>
          <w:rFonts w:ascii="Times New Roman" w:eastAsia="楷体_GB2312" w:hAnsi="Times New Roman" w:cs="Times New Roman" w:hint="eastAsia"/>
          <w:bCs/>
          <w:color w:val="000000"/>
          <w:kern w:val="0"/>
          <w:sz w:val="32"/>
          <w:szCs w:val="30"/>
        </w:rPr>
        <w:t>有效期</w:t>
      </w:r>
      <w:bookmarkEnd w:id="7"/>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第十二条</w:t>
      </w:r>
      <w:r>
        <w:rPr>
          <w:rFonts w:ascii="仿宋" w:eastAsia="仿宋" w:hAnsi="仿宋" w:cs="Times New Roman" w:hint="eastAsia"/>
          <w:color w:val="000000"/>
          <w:sz w:val="32"/>
          <w:szCs w:val="30"/>
        </w:rPr>
        <w:t xml:space="preserve"> 发行人编制的财务报告应当符合《企业会计准则》或者国家相关会计制度。上市公司编制的财务报告还应当符合《公开发行证券的公司信息披露编报规则第</w:t>
      </w:r>
      <w:r>
        <w:rPr>
          <w:rFonts w:ascii="仿宋" w:eastAsia="仿宋" w:hAnsi="仿宋" w:cs="Times New Roman"/>
          <w:color w:val="000000"/>
          <w:sz w:val="32"/>
          <w:szCs w:val="30"/>
        </w:rPr>
        <w:t>15</w:t>
      </w:r>
      <w:r>
        <w:rPr>
          <w:rFonts w:ascii="仿宋" w:eastAsia="仿宋" w:hAnsi="仿宋" w:cs="Times New Roman" w:hint="eastAsia"/>
          <w:color w:val="000000"/>
          <w:sz w:val="32"/>
          <w:szCs w:val="30"/>
        </w:rPr>
        <w:t>号——财务报告的一般规定》。中国证监会对非上市公众公司财务报告披露另有规定的，从其规定。</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第十三条</w:t>
      </w:r>
      <w:r>
        <w:rPr>
          <w:rFonts w:ascii="仿宋" w:eastAsia="仿宋" w:hAnsi="仿宋" w:cs="Times New Roman" w:hint="eastAsia"/>
          <w:color w:val="000000"/>
          <w:sz w:val="32"/>
          <w:szCs w:val="30"/>
        </w:rPr>
        <w:t xml:space="preserve"> 财务报表应当以年度末、半年度末或者季度末为截止日。募集说明书引用的财务</w:t>
      </w:r>
      <w:r w:rsidR="002D418A">
        <w:rPr>
          <w:rFonts w:ascii="仿宋" w:eastAsia="仿宋" w:hAnsi="仿宋" w:cs="Times New Roman" w:hint="eastAsia"/>
          <w:color w:val="000000"/>
          <w:sz w:val="32"/>
          <w:szCs w:val="30"/>
        </w:rPr>
        <w:t>报表</w:t>
      </w:r>
      <w:r>
        <w:rPr>
          <w:rFonts w:ascii="仿宋" w:eastAsia="仿宋" w:hAnsi="仿宋" w:cs="Times New Roman" w:hint="eastAsia"/>
          <w:color w:val="000000"/>
          <w:sz w:val="32"/>
          <w:szCs w:val="30"/>
        </w:rPr>
        <w:t>在其最近一期截止后六个月内有效，特别情况下发行人可申请适当延长有效期，延长期限不超过一个月，中国证监会或者本所对财务</w:t>
      </w:r>
      <w:r w:rsidR="007D64B8">
        <w:rPr>
          <w:rFonts w:ascii="仿宋" w:eastAsia="仿宋" w:hAnsi="仿宋" w:cs="Times New Roman" w:hint="eastAsia"/>
          <w:color w:val="000000"/>
          <w:sz w:val="32"/>
          <w:szCs w:val="30"/>
        </w:rPr>
        <w:t>报表</w:t>
      </w:r>
      <w:r>
        <w:rPr>
          <w:rFonts w:ascii="仿宋" w:eastAsia="仿宋" w:hAnsi="仿宋" w:cs="Times New Roman" w:hint="eastAsia"/>
          <w:color w:val="000000"/>
          <w:sz w:val="32"/>
          <w:szCs w:val="30"/>
        </w:rPr>
        <w:t>有效期另有规定的除外。</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存在影响公司经营或者偿债能力等重大不利变化且预计影响发行条件的不得延期。</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第十四条</w:t>
      </w:r>
      <w:r>
        <w:rPr>
          <w:rFonts w:ascii="仿宋" w:eastAsia="仿宋" w:hAnsi="仿宋" w:cs="Times New Roman" w:hint="eastAsia"/>
          <w:color w:val="000000"/>
          <w:sz w:val="32"/>
          <w:szCs w:val="30"/>
        </w:rPr>
        <w:t xml:space="preserve"> 申请延长财务</w:t>
      </w:r>
      <w:r w:rsidR="007D64B8">
        <w:rPr>
          <w:rFonts w:ascii="仿宋" w:eastAsia="仿宋" w:hAnsi="仿宋" w:cs="Times New Roman" w:hint="eastAsia"/>
          <w:color w:val="000000"/>
          <w:sz w:val="32"/>
          <w:szCs w:val="30"/>
        </w:rPr>
        <w:t>报表</w:t>
      </w:r>
      <w:r>
        <w:rPr>
          <w:rFonts w:ascii="仿宋" w:eastAsia="仿宋" w:hAnsi="仿宋" w:cs="Times New Roman" w:hint="eastAsia"/>
          <w:color w:val="000000"/>
          <w:sz w:val="32"/>
          <w:szCs w:val="30"/>
        </w:rPr>
        <w:t>有效期的发行人，应当向本所提交财务</w:t>
      </w:r>
      <w:r w:rsidR="00A61FFE">
        <w:rPr>
          <w:rFonts w:ascii="仿宋" w:eastAsia="仿宋" w:hAnsi="仿宋" w:cs="Times New Roman" w:hint="eastAsia"/>
          <w:color w:val="000000"/>
          <w:sz w:val="32"/>
          <w:szCs w:val="30"/>
        </w:rPr>
        <w:t>报表</w:t>
      </w:r>
      <w:r>
        <w:rPr>
          <w:rFonts w:ascii="仿宋" w:eastAsia="仿宋" w:hAnsi="仿宋" w:cs="Times New Roman" w:hint="eastAsia"/>
          <w:color w:val="000000"/>
          <w:sz w:val="32"/>
          <w:szCs w:val="30"/>
        </w:rPr>
        <w:t>有效期延期申请，并对以下情况进行说明：</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（一）最新一期财务</w:t>
      </w:r>
      <w:r w:rsidR="007D64B8">
        <w:rPr>
          <w:rFonts w:ascii="仿宋" w:eastAsia="仿宋" w:hAnsi="仿宋" w:cs="Times New Roman" w:hint="eastAsia"/>
          <w:color w:val="000000"/>
          <w:sz w:val="32"/>
          <w:szCs w:val="30"/>
        </w:rPr>
        <w:t>报表</w:t>
      </w:r>
      <w:r>
        <w:rPr>
          <w:rFonts w:ascii="仿宋" w:eastAsia="仿宋" w:hAnsi="仿宋" w:cs="Times New Roman" w:hint="eastAsia"/>
          <w:color w:val="000000"/>
          <w:sz w:val="32"/>
          <w:szCs w:val="30"/>
        </w:rPr>
        <w:t>的主要财务数据</w:t>
      </w:r>
      <w:r w:rsidR="00A253D5">
        <w:rPr>
          <w:rFonts w:ascii="仿宋" w:eastAsia="仿宋" w:hAnsi="仿宋" w:cs="Times New Roman" w:hint="eastAsia"/>
          <w:color w:val="000000"/>
          <w:sz w:val="32"/>
          <w:szCs w:val="30"/>
        </w:rPr>
        <w:t>和</w:t>
      </w:r>
      <w:r>
        <w:rPr>
          <w:rFonts w:ascii="仿宋" w:eastAsia="仿宋" w:hAnsi="仿宋" w:cs="Times New Roman" w:hint="eastAsia"/>
          <w:color w:val="000000"/>
          <w:sz w:val="32"/>
          <w:szCs w:val="30"/>
        </w:rPr>
        <w:t>财务指标（如无法提供，请说明原因）；</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（二）最新一期生产经营是否正常，业绩较上年同期是否出现大幅下滑或者亏损；</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（三）是否存在影响公司经营或者偿债能力的其他不利变化；</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（四）发行人是否仍符合发行条件；</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（五）延期理由以及期限。</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_GB2312" w:eastAsia="仿宋_GB2312" w:hAnsi="Times New Roman" w:cs="Times New Roman" w:hint="eastAsia"/>
          <w:color w:val="000000"/>
          <w:sz w:val="32"/>
          <w:szCs w:val="30"/>
        </w:rPr>
        <w:lastRenderedPageBreak/>
        <w:t>主承销商应当对前款规定的事项进行核查并发表</w:t>
      </w:r>
      <w:r w:rsidR="00F02857">
        <w:rPr>
          <w:rFonts w:ascii="仿宋_GB2312" w:eastAsia="仿宋_GB2312" w:hAnsi="Times New Roman" w:cs="Times New Roman" w:hint="eastAsia"/>
          <w:color w:val="000000"/>
          <w:sz w:val="32"/>
          <w:szCs w:val="30"/>
        </w:rPr>
        <w:t>明确</w:t>
      </w:r>
      <w:r>
        <w:rPr>
          <w:rFonts w:ascii="仿宋_GB2312" w:eastAsia="仿宋_GB2312" w:hAnsi="Times New Roman" w:cs="Times New Roman" w:hint="eastAsia"/>
          <w:color w:val="000000"/>
          <w:sz w:val="32"/>
          <w:szCs w:val="30"/>
        </w:rPr>
        <w:t>意见。</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第十五条</w:t>
      </w:r>
      <w:r>
        <w:rPr>
          <w:rFonts w:ascii="仿宋" w:eastAsia="仿宋" w:hAnsi="仿宋" w:cs="Times New Roman" w:hint="eastAsia"/>
          <w:color w:val="000000"/>
          <w:sz w:val="32"/>
          <w:szCs w:val="30"/>
        </w:rPr>
        <w:t xml:space="preserve"> 发行人已在本所或者其他市场披露最新一期财务报表的，发行人和主承销商应当提供最新一期财务报表，并相应更新募集说明书。若无重大不利变化或者其他特殊情形，可按下述要求简要披露或者索引式披露：</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（一）在募集说明书“重大事项提示”以及其他相关章节中，披露最新一期财务</w:t>
      </w:r>
      <w:r w:rsidR="007D64B8">
        <w:rPr>
          <w:rFonts w:ascii="仿宋" w:eastAsia="仿宋" w:hAnsi="仿宋" w:cs="Times New Roman" w:hint="eastAsia"/>
          <w:color w:val="000000"/>
          <w:sz w:val="32"/>
          <w:szCs w:val="30"/>
        </w:rPr>
        <w:t>报表</w:t>
      </w:r>
      <w:r>
        <w:rPr>
          <w:rFonts w:ascii="仿宋" w:eastAsia="仿宋" w:hAnsi="仿宋" w:cs="Times New Roman" w:hint="eastAsia"/>
          <w:color w:val="000000"/>
          <w:sz w:val="32"/>
          <w:szCs w:val="30"/>
        </w:rPr>
        <w:t>主营业务收入、净利润、总资产、净资产等主要财务数据和财务指标；</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（二）在募集说明书中通过增加附件或者索引的方式补充披露最新一期财务</w:t>
      </w:r>
      <w:r w:rsidR="007D64B8">
        <w:rPr>
          <w:rFonts w:ascii="仿宋" w:eastAsia="仿宋" w:hAnsi="仿宋" w:cs="Times New Roman" w:hint="eastAsia"/>
          <w:color w:val="000000"/>
          <w:sz w:val="32"/>
          <w:szCs w:val="30"/>
        </w:rPr>
        <w:t>报表</w:t>
      </w:r>
      <w:r>
        <w:rPr>
          <w:rFonts w:ascii="仿宋" w:eastAsia="仿宋" w:hAnsi="仿宋" w:cs="Times New Roman" w:hint="eastAsia"/>
          <w:color w:val="000000"/>
          <w:sz w:val="32"/>
          <w:szCs w:val="30"/>
        </w:rPr>
        <w:t>。</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已在本所或者其他市场披露经审计的年度财务报告的，应当提供年度</w:t>
      </w:r>
      <w:r w:rsidR="00A253D5">
        <w:rPr>
          <w:rFonts w:ascii="仿宋" w:eastAsia="仿宋" w:hAnsi="仿宋" w:cs="Times New Roman" w:hint="eastAsia"/>
          <w:color w:val="000000"/>
          <w:sz w:val="32"/>
          <w:szCs w:val="30"/>
        </w:rPr>
        <w:t>财务报告和</w:t>
      </w:r>
      <w:r w:rsidR="00B3574C">
        <w:rPr>
          <w:rFonts w:ascii="仿宋" w:eastAsia="仿宋" w:hAnsi="仿宋" w:cs="Times New Roman" w:hint="eastAsia"/>
          <w:color w:val="000000"/>
          <w:sz w:val="32"/>
          <w:szCs w:val="30"/>
        </w:rPr>
        <w:t>审计</w:t>
      </w:r>
      <w:r>
        <w:rPr>
          <w:rFonts w:ascii="仿宋" w:eastAsia="仿宋" w:hAnsi="仿宋" w:cs="Times New Roman" w:hint="eastAsia"/>
          <w:color w:val="000000"/>
          <w:sz w:val="32"/>
          <w:szCs w:val="30"/>
        </w:rPr>
        <w:t>报告，并同步更新全套申报文件。</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第十六条</w:t>
      </w:r>
      <w:r>
        <w:rPr>
          <w:rFonts w:ascii="仿宋" w:eastAsia="仿宋" w:hAnsi="仿宋" w:cs="Times New Roman" w:hint="eastAsia"/>
          <w:color w:val="000000"/>
          <w:sz w:val="32"/>
          <w:szCs w:val="30"/>
        </w:rPr>
        <w:t xml:space="preserve"> 在境外上市的境内发行人，或者发行人合并报表范围内重要子公司为境外上市公司的，如上市地监管规则不强制要求上市公司披露季度财务报告，为加强境内外监管协调，可豁免提供季度财务报告</w:t>
      </w:r>
      <w:r w:rsidR="00A253D5">
        <w:rPr>
          <w:rFonts w:ascii="仿宋" w:eastAsia="仿宋" w:hAnsi="仿宋" w:cs="Times New Roman" w:hint="eastAsia"/>
          <w:color w:val="000000"/>
          <w:sz w:val="32"/>
          <w:szCs w:val="30"/>
        </w:rPr>
        <w:t>。</w:t>
      </w:r>
      <w:r>
        <w:rPr>
          <w:rFonts w:ascii="仿宋" w:eastAsia="仿宋" w:hAnsi="仿宋" w:cs="Times New Roman" w:hint="eastAsia"/>
          <w:color w:val="000000"/>
          <w:sz w:val="32"/>
          <w:szCs w:val="30"/>
        </w:rPr>
        <w:t>发行人所提交的财务报告应当与</w:t>
      </w:r>
      <w:r w:rsidR="00A253D5">
        <w:rPr>
          <w:rFonts w:ascii="仿宋" w:eastAsia="仿宋" w:hAnsi="仿宋" w:cs="Times New Roman" w:hint="eastAsia"/>
          <w:color w:val="000000"/>
          <w:sz w:val="32"/>
          <w:szCs w:val="30"/>
        </w:rPr>
        <w:t>其</w:t>
      </w:r>
      <w:r>
        <w:rPr>
          <w:rFonts w:ascii="仿宋" w:eastAsia="仿宋" w:hAnsi="仿宋" w:cs="Times New Roman" w:hint="eastAsia"/>
          <w:color w:val="000000"/>
          <w:sz w:val="32"/>
          <w:szCs w:val="30"/>
        </w:rPr>
        <w:t>在上市场所披露的最新财务报告保持一致，并仍应当严格遵守财务</w:t>
      </w:r>
      <w:r w:rsidR="004B646B">
        <w:rPr>
          <w:rFonts w:ascii="仿宋" w:eastAsia="仿宋" w:hAnsi="仿宋" w:cs="Times New Roman" w:hint="eastAsia"/>
          <w:color w:val="000000"/>
          <w:sz w:val="32"/>
          <w:szCs w:val="30"/>
        </w:rPr>
        <w:t>报表</w:t>
      </w:r>
      <w:r>
        <w:rPr>
          <w:rFonts w:ascii="仿宋" w:eastAsia="仿宋" w:hAnsi="仿宋" w:cs="Times New Roman" w:hint="eastAsia"/>
          <w:color w:val="000000"/>
          <w:sz w:val="32"/>
          <w:szCs w:val="30"/>
        </w:rPr>
        <w:t>有效期相关规定。</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第十七条</w:t>
      </w:r>
      <w:r>
        <w:rPr>
          <w:rFonts w:ascii="仿宋" w:eastAsia="仿宋" w:hAnsi="仿宋" w:cs="Times New Roman" w:hint="eastAsia"/>
          <w:color w:val="000000"/>
          <w:sz w:val="32"/>
          <w:szCs w:val="30"/>
        </w:rPr>
        <w:t xml:space="preserve"> 由派生分立、新设合并或者重大资产重组</w:t>
      </w:r>
      <w:r w:rsidR="007D64B8">
        <w:rPr>
          <w:rFonts w:ascii="仿宋" w:eastAsia="仿宋" w:hAnsi="仿宋" w:cs="Times New Roman" w:hint="eastAsia"/>
          <w:color w:val="000000"/>
          <w:sz w:val="32"/>
          <w:szCs w:val="30"/>
        </w:rPr>
        <w:t>设立</w:t>
      </w:r>
      <w:r>
        <w:rPr>
          <w:rFonts w:ascii="仿宋" w:eastAsia="仿宋" w:hAnsi="仿宋" w:cs="Times New Roman" w:hint="eastAsia"/>
          <w:color w:val="000000"/>
          <w:sz w:val="32"/>
          <w:szCs w:val="30"/>
        </w:rPr>
        <w:t>的发行人，因</w:t>
      </w:r>
      <w:r w:rsidR="007D64B8">
        <w:rPr>
          <w:rFonts w:ascii="仿宋" w:eastAsia="仿宋" w:hAnsi="仿宋" w:cs="Times New Roman" w:hint="eastAsia"/>
          <w:color w:val="000000"/>
          <w:sz w:val="32"/>
          <w:szCs w:val="30"/>
        </w:rPr>
        <w:t>设立</w:t>
      </w:r>
      <w:r>
        <w:rPr>
          <w:rFonts w:ascii="仿宋" w:eastAsia="仿宋" w:hAnsi="仿宋" w:cs="Times New Roman" w:hint="eastAsia"/>
          <w:color w:val="000000"/>
          <w:sz w:val="32"/>
          <w:szCs w:val="30"/>
        </w:rPr>
        <w:t>时间不足无法提供</w:t>
      </w:r>
      <w:r>
        <w:rPr>
          <w:rFonts w:ascii="仿宋_GB2312" w:eastAsia="仿宋_GB2312" w:hAnsi="Times New Roman" w:cs="Times New Roman" w:hint="eastAsia"/>
          <w:color w:val="000000"/>
          <w:sz w:val="32"/>
          <w:szCs w:val="30"/>
        </w:rPr>
        <w:t>最近三年的财务报告和审计报告</w:t>
      </w:r>
      <w:r>
        <w:rPr>
          <w:rFonts w:ascii="仿宋" w:eastAsia="仿宋" w:hAnsi="仿宋" w:cs="Times New Roman" w:hint="eastAsia"/>
          <w:color w:val="000000"/>
          <w:sz w:val="32"/>
          <w:szCs w:val="30"/>
        </w:rPr>
        <w:t>，但同时满足以下条件的，可以申请公开发行公司债券：</w:t>
      </w:r>
    </w:p>
    <w:p w:rsidR="00DA5501" w:rsidRDefault="007C17D1" w:rsidP="003E67DF">
      <w:pPr>
        <w:numPr>
          <w:ilvl w:val="0"/>
          <w:numId w:val="3"/>
        </w:num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进入发行人的资产（包括股权）和业务已持续运营满</w:t>
      </w:r>
      <w:r>
        <w:rPr>
          <w:rFonts w:ascii="仿宋" w:eastAsia="仿宋" w:hAnsi="仿宋" w:cs="Times New Roman" w:hint="eastAsia"/>
          <w:color w:val="000000"/>
          <w:sz w:val="32"/>
          <w:szCs w:val="30"/>
        </w:rPr>
        <w:lastRenderedPageBreak/>
        <w:t>三年；</w:t>
      </w:r>
    </w:p>
    <w:p w:rsidR="00DA5501" w:rsidRDefault="007C17D1" w:rsidP="003E67DF">
      <w:pPr>
        <w:numPr>
          <w:ilvl w:val="0"/>
          <w:numId w:val="3"/>
        </w:num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持续运营期间业务经营、会计核算均具有独立性；</w:t>
      </w:r>
    </w:p>
    <w:p w:rsidR="00DA5501" w:rsidRDefault="007C17D1" w:rsidP="003E67DF">
      <w:pPr>
        <w:numPr>
          <w:ilvl w:val="0"/>
          <w:numId w:val="3"/>
        </w:num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相关主体发行条件的合规核查基础具有可操作性。</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符合前款规定的发行人应当提供三年经审计的法定财务报表或者模拟财务报表，同时提供其分立、合并或者重组后的发行主体所涉业务板块最近三年无债务违约或者</w:t>
      </w:r>
      <w:r w:rsidR="00B3574C">
        <w:rPr>
          <w:rFonts w:ascii="仿宋" w:eastAsia="仿宋" w:hAnsi="仿宋" w:cs="Times New Roman" w:hint="eastAsia"/>
          <w:color w:val="000000"/>
          <w:sz w:val="32"/>
          <w:szCs w:val="30"/>
        </w:rPr>
        <w:t>延迟</w:t>
      </w:r>
      <w:r>
        <w:rPr>
          <w:rFonts w:ascii="仿宋" w:eastAsia="仿宋" w:hAnsi="仿宋" w:cs="Times New Roman" w:hint="eastAsia"/>
          <w:color w:val="000000"/>
          <w:sz w:val="32"/>
          <w:szCs w:val="30"/>
        </w:rPr>
        <w:t>支付本息事实的相关说明。主承销商和发行人律师应当对发行人是否满足前款规定的条件及其作出的说明进行核查并发表</w:t>
      </w:r>
      <w:r w:rsidR="00F02857">
        <w:rPr>
          <w:rFonts w:ascii="仿宋" w:eastAsia="仿宋" w:hAnsi="仿宋" w:cs="Times New Roman" w:hint="eastAsia"/>
          <w:color w:val="000000"/>
          <w:sz w:val="32"/>
          <w:szCs w:val="30"/>
        </w:rPr>
        <w:t>明确</w:t>
      </w:r>
      <w:r>
        <w:rPr>
          <w:rFonts w:ascii="仿宋" w:eastAsia="仿宋" w:hAnsi="仿宋" w:cs="Times New Roman" w:hint="eastAsia"/>
          <w:color w:val="000000"/>
          <w:sz w:val="32"/>
          <w:szCs w:val="30"/>
        </w:rPr>
        <w:t>意见。</w:t>
      </w:r>
    </w:p>
    <w:p w:rsidR="000968AD" w:rsidRDefault="000968AD">
      <w:pPr>
        <w:adjustRightInd w:val="0"/>
        <w:snapToGrid w:val="0"/>
        <w:spacing w:line="560" w:lineRule="exact"/>
        <w:ind w:firstLineChars="200" w:firstLine="640"/>
        <w:rPr>
          <w:rFonts w:ascii="仿宋" w:eastAsia="仿宋" w:hAnsi="仿宋" w:cs="Times New Roman"/>
          <w:color w:val="000000"/>
          <w:sz w:val="32"/>
          <w:szCs w:val="30"/>
        </w:rPr>
      </w:pPr>
    </w:p>
    <w:p w:rsidR="00DA5501" w:rsidRDefault="007C17D1">
      <w:pPr>
        <w:adjustRightInd w:val="0"/>
        <w:snapToGrid w:val="0"/>
        <w:spacing w:line="560" w:lineRule="exact"/>
        <w:jc w:val="center"/>
        <w:outlineLvl w:val="0"/>
        <w:rPr>
          <w:rFonts w:ascii="Times New Roman" w:eastAsia="黑体" w:hAnsi="Times New Roman" w:cs="Times New Roman"/>
          <w:bCs/>
          <w:color w:val="000000"/>
          <w:kern w:val="0"/>
          <w:sz w:val="32"/>
          <w:szCs w:val="30"/>
        </w:rPr>
      </w:pPr>
      <w:bookmarkStart w:id="8" w:name="_Toc96687521"/>
      <w:r>
        <w:rPr>
          <w:rFonts w:ascii="Times New Roman" w:eastAsia="黑体" w:hAnsi="Times New Roman" w:cs="Times New Roman" w:hint="eastAsia"/>
          <w:bCs/>
          <w:color w:val="000000"/>
          <w:kern w:val="0"/>
          <w:sz w:val="32"/>
          <w:szCs w:val="30"/>
        </w:rPr>
        <w:t>第三章</w:t>
      </w:r>
      <w:r>
        <w:rPr>
          <w:rFonts w:ascii="Times New Roman" w:eastAsia="黑体" w:hAnsi="Times New Roman" w:cs="Times New Roman"/>
          <w:bCs/>
          <w:color w:val="000000"/>
          <w:kern w:val="0"/>
          <w:sz w:val="32"/>
          <w:szCs w:val="30"/>
        </w:rPr>
        <w:t xml:space="preserve"> </w:t>
      </w:r>
      <w:r>
        <w:rPr>
          <w:rFonts w:ascii="Times New Roman" w:eastAsia="黑体" w:hAnsi="Times New Roman" w:cs="Times New Roman" w:hint="eastAsia"/>
          <w:bCs/>
          <w:color w:val="000000"/>
          <w:kern w:val="0"/>
          <w:sz w:val="32"/>
          <w:szCs w:val="30"/>
        </w:rPr>
        <w:t>募集说明书及其摘要编制要求</w:t>
      </w:r>
      <w:bookmarkEnd w:id="8"/>
    </w:p>
    <w:p w:rsidR="00DA5501" w:rsidRDefault="007C17D1">
      <w:pPr>
        <w:adjustRightInd w:val="0"/>
        <w:snapToGrid w:val="0"/>
        <w:spacing w:line="560" w:lineRule="exact"/>
        <w:jc w:val="center"/>
        <w:outlineLvl w:val="1"/>
        <w:rPr>
          <w:rFonts w:ascii="Times New Roman" w:eastAsia="楷体_GB2312" w:hAnsi="Times New Roman" w:cs="Times New Roman"/>
          <w:bCs/>
          <w:color w:val="000000"/>
          <w:kern w:val="0"/>
          <w:sz w:val="32"/>
          <w:szCs w:val="30"/>
        </w:rPr>
      </w:pPr>
      <w:r>
        <w:rPr>
          <w:rFonts w:ascii="Times New Roman" w:eastAsia="楷体_GB2312" w:hAnsi="Times New Roman" w:cs="Times New Roman" w:hint="eastAsia"/>
          <w:bCs/>
          <w:color w:val="000000"/>
          <w:kern w:val="0"/>
          <w:sz w:val="32"/>
          <w:szCs w:val="30"/>
        </w:rPr>
        <w:t>第一节</w:t>
      </w:r>
      <w:r>
        <w:rPr>
          <w:rFonts w:ascii="Times New Roman" w:eastAsia="楷体_GB2312" w:hAnsi="Times New Roman" w:cs="Times New Roman"/>
          <w:bCs/>
          <w:color w:val="000000"/>
          <w:kern w:val="0"/>
          <w:sz w:val="32"/>
          <w:szCs w:val="30"/>
        </w:rPr>
        <w:t xml:space="preserve"> </w:t>
      </w:r>
      <w:r>
        <w:rPr>
          <w:rFonts w:ascii="Times New Roman" w:eastAsia="楷体_GB2312" w:hAnsi="Times New Roman" w:cs="Times New Roman" w:hint="eastAsia"/>
          <w:bCs/>
          <w:color w:val="000000"/>
          <w:kern w:val="0"/>
          <w:sz w:val="32"/>
          <w:szCs w:val="30"/>
        </w:rPr>
        <w:t>募集说明书编制要求</w:t>
      </w:r>
    </w:p>
    <w:p w:rsidR="00DA5501" w:rsidRDefault="007C17D1">
      <w:pPr>
        <w:pStyle w:val="af6"/>
        <w:spacing w:line="560" w:lineRule="exact"/>
        <w:ind w:firstLine="602"/>
      </w:pPr>
      <w:r>
        <w:rPr>
          <w:rFonts w:hint="eastAsia"/>
          <w:b/>
        </w:rPr>
        <w:t>第十八条</w:t>
      </w:r>
      <w:r>
        <w:t xml:space="preserve"> 募集说明书</w:t>
      </w:r>
      <w:r>
        <w:rPr>
          <w:rFonts w:hint="eastAsia"/>
        </w:rPr>
        <w:t>应当</w:t>
      </w:r>
      <w:r>
        <w:t>按照《信息披露管理办法》和本指引的</w:t>
      </w:r>
      <w:r>
        <w:rPr>
          <w:rFonts w:hint="eastAsia"/>
        </w:rPr>
        <w:t>规定</w:t>
      </w:r>
      <w:r>
        <w:t>编制。本指引是募集说明书信息披露的</w:t>
      </w:r>
      <w:r>
        <w:rPr>
          <w:rFonts w:hint="eastAsia"/>
        </w:rPr>
        <w:t>最低要求，不论本指引是否有明确规定，凡对投资者作出价值判断和投资决策有重大影响的信息，均应当披露。</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bCs/>
          <w:color w:val="000000"/>
          <w:sz w:val="32"/>
          <w:szCs w:val="30"/>
        </w:rPr>
        <w:t xml:space="preserve">第十九条 </w:t>
      </w:r>
      <w:r>
        <w:rPr>
          <w:rFonts w:ascii="仿宋" w:eastAsia="仿宋" w:hAnsi="仿宋" w:cs="Times New Roman" w:hint="eastAsia"/>
          <w:color w:val="000000"/>
          <w:sz w:val="32"/>
          <w:szCs w:val="30"/>
        </w:rPr>
        <w:t>募集说明书的编制应当遵循如下要求：</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（一）遵循重要性原则，重点披露影响发行人偿付能力的重大事项和保护投资者权益的重要措施</w:t>
      </w:r>
      <w:r w:rsidR="00E71194">
        <w:rPr>
          <w:rFonts w:ascii="仿宋" w:eastAsia="仿宋" w:hAnsi="仿宋" w:cs="Times New Roman" w:hint="eastAsia"/>
          <w:color w:val="000000"/>
          <w:sz w:val="32"/>
          <w:szCs w:val="30"/>
        </w:rPr>
        <w:t>；</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（二）使用通俗易懂的事实性描述语言，不得有祝贺性、广告性、恭维性或者诋毁性的词句，并尽量采用图表或者其他较为直观的方式准确披露发行人以及本次债券的情况</w:t>
      </w:r>
      <w:r w:rsidR="00E71194">
        <w:rPr>
          <w:rFonts w:ascii="仿宋" w:eastAsia="仿宋" w:hAnsi="仿宋" w:cs="Times New Roman" w:hint="eastAsia"/>
          <w:color w:val="000000"/>
          <w:sz w:val="32"/>
          <w:szCs w:val="30"/>
        </w:rPr>
        <w:t>；</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（三）引用的信息应当有明确的时间范围和资料来源，应当</w:t>
      </w:r>
      <w:r>
        <w:rPr>
          <w:rFonts w:ascii="仿宋" w:eastAsia="仿宋" w:hAnsi="仿宋" w:cs="Times New Roman" w:hint="eastAsia"/>
          <w:color w:val="000000"/>
          <w:sz w:val="32"/>
          <w:szCs w:val="30"/>
        </w:rPr>
        <w:lastRenderedPageBreak/>
        <w:t>有充分、客观、公正的依据</w:t>
      </w:r>
      <w:r w:rsidR="00E71194">
        <w:rPr>
          <w:rFonts w:ascii="仿宋" w:eastAsia="仿宋" w:hAnsi="仿宋" w:cs="Times New Roman" w:hint="eastAsia"/>
          <w:color w:val="000000"/>
          <w:sz w:val="32"/>
          <w:szCs w:val="30"/>
        </w:rPr>
        <w:t>；</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（四）引用的数字应当采用阿拉伯数字，货币金额除特别说明外，应当指人民币金额，并注明金额单位。</w:t>
      </w:r>
    </w:p>
    <w:p w:rsidR="00DA5501" w:rsidRDefault="007C17D1">
      <w:pPr>
        <w:pStyle w:val="Style3"/>
        <w:ind w:firstLine="643"/>
        <w:rPr>
          <w:rFonts w:ascii="仿宋" w:eastAsia="仿宋" w:hAnsi="仿宋" w:cs="黑体"/>
          <w:bCs/>
          <w:szCs w:val="32"/>
        </w:rPr>
      </w:pPr>
      <w:r>
        <w:rPr>
          <w:rFonts w:ascii="仿宋" w:eastAsia="仿宋" w:hAnsi="仿宋" w:hint="eastAsia"/>
          <w:b/>
        </w:rPr>
        <w:t>第二十条</w:t>
      </w:r>
      <w:r>
        <w:rPr>
          <w:rFonts w:ascii="仿宋" w:eastAsia="仿宋" w:hAnsi="仿宋" w:hint="eastAsia"/>
        </w:rPr>
        <w:t xml:space="preserve"> 本指引</w:t>
      </w:r>
      <w:r w:rsidR="007D64B8">
        <w:rPr>
          <w:rFonts w:ascii="仿宋" w:eastAsia="仿宋" w:hAnsi="仿宋" w:hint="eastAsia"/>
        </w:rPr>
        <w:t>相关</w:t>
      </w:r>
      <w:r>
        <w:rPr>
          <w:rFonts w:ascii="仿宋" w:eastAsia="仿宋" w:hAnsi="仿宋" w:hint="eastAsia"/>
        </w:rPr>
        <w:t>规定对发行人确不适用的，发行人可以根据实际情况调整，并在报送时</w:t>
      </w:r>
      <w:r w:rsidR="007D64B8">
        <w:rPr>
          <w:rFonts w:ascii="仿宋" w:eastAsia="仿宋" w:hAnsi="仿宋" w:hint="eastAsia"/>
        </w:rPr>
        <w:t>作</w:t>
      </w:r>
      <w:r>
        <w:rPr>
          <w:rFonts w:ascii="仿宋" w:eastAsia="仿宋" w:hAnsi="仿宋" w:hint="eastAsia"/>
        </w:rPr>
        <w:t>相应说明。</w:t>
      </w:r>
      <w:r>
        <w:rPr>
          <w:rFonts w:ascii="仿宋" w:eastAsia="仿宋" w:hAnsi="仿宋" w:cs="黑体" w:hint="eastAsia"/>
          <w:bCs/>
          <w:szCs w:val="32"/>
        </w:rPr>
        <w:t>发行人在制作、修改募集说明书等发行上市申请文件或者根据审核问询作出回复时，拟披露的信息属于国家秘密、发行人商业秘密，披露后可能导致其违反国家保密</w:t>
      </w:r>
      <w:r w:rsidR="00C0114C">
        <w:rPr>
          <w:rFonts w:ascii="仿宋" w:eastAsia="仿宋" w:hAnsi="仿宋" w:cs="黑体" w:hint="eastAsia"/>
          <w:bCs/>
          <w:szCs w:val="32"/>
        </w:rPr>
        <w:t>相关</w:t>
      </w:r>
      <w:r>
        <w:rPr>
          <w:rFonts w:ascii="仿宋" w:eastAsia="仿宋" w:hAnsi="仿宋" w:cs="黑体" w:hint="eastAsia"/>
          <w:bCs/>
          <w:szCs w:val="32"/>
        </w:rPr>
        <w:t>法律法规或者严重损害公司利益的，可以申请豁免披露</w:t>
      </w:r>
      <w:r>
        <w:rPr>
          <w:rFonts w:ascii="仿宋" w:eastAsia="仿宋" w:hAnsi="仿宋" w:hint="eastAsia"/>
        </w:rPr>
        <w:t>并承诺已披露信息符合相关保密法律法规的规定</w:t>
      </w:r>
      <w:r>
        <w:rPr>
          <w:rFonts w:ascii="仿宋" w:eastAsia="仿宋" w:hAnsi="仿宋" w:cs="黑体" w:hint="eastAsia"/>
          <w:bCs/>
          <w:szCs w:val="32"/>
        </w:rPr>
        <w:t>。本所认为豁免披露理由不成立的，发行人应当按照规定予以披露。</w:t>
      </w:r>
    </w:p>
    <w:p w:rsidR="00DA5501" w:rsidRDefault="007C17D1">
      <w:pPr>
        <w:pStyle w:val="Style3"/>
        <w:ind w:firstLine="640"/>
        <w:rPr>
          <w:rFonts w:ascii="仿宋" w:eastAsia="仿宋" w:hAnsi="仿宋" w:cs="黑体"/>
          <w:bCs/>
          <w:szCs w:val="32"/>
        </w:rPr>
      </w:pPr>
      <w:r>
        <w:rPr>
          <w:rFonts w:ascii="仿宋" w:eastAsia="仿宋" w:hAnsi="仿宋" w:cs="黑体" w:hint="eastAsia"/>
          <w:bCs/>
          <w:szCs w:val="32"/>
        </w:rPr>
        <w:t>发行人不得泄露国家秘密，也不得滥用商业秘密信息影响信息披露的真实、准确、完整。</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第二十一条</w:t>
      </w:r>
      <w:r>
        <w:rPr>
          <w:rFonts w:ascii="仿宋" w:eastAsia="仿宋" w:hAnsi="仿宋" w:cs="Times New Roman" w:hint="eastAsia"/>
          <w:color w:val="000000"/>
          <w:sz w:val="32"/>
          <w:szCs w:val="30"/>
        </w:rPr>
        <w:t xml:space="preserve"> 在不影响信息披露的完整性并保证阅读方便的前提下，发行人可采用相互引征的方法，对募集说明书前后文进行适当简化处理。</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对于在相关监管机构规定的信息披露渠道可公开获得的股票或者债券的募集说明书、招股说明书、公开转让说明书、上市公告书、定期报告和临时报告等文件中</w:t>
      </w:r>
      <w:r w:rsidR="00736E3B">
        <w:rPr>
          <w:rFonts w:ascii="仿宋" w:eastAsia="仿宋" w:hAnsi="仿宋" w:cs="Times New Roman" w:hint="eastAsia"/>
          <w:color w:val="000000"/>
          <w:sz w:val="32"/>
          <w:szCs w:val="30"/>
        </w:rPr>
        <w:t>已</w:t>
      </w:r>
      <w:r>
        <w:rPr>
          <w:rFonts w:ascii="仿宋" w:eastAsia="仿宋" w:hAnsi="仿宋" w:cs="Times New Roman" w:hint="eastAsia"/>
          <w:color w:val="000000"/>
          <w:sz w:val="32"/>
          <w:szCs w:val="30"/>
        </w:rPr>
        <w:t>披露的信息，如无重大不利变化或者其他特殊情形，发行人可采用索引的方法进行披露。索引的内容也是募集说明书的组成部分，发行人、主承销商、证券服务机构以及相关人员应当对其承担相应的法律责任。</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lastRenderedPageBreak/>
        <w:t>第二十二条</w:t>
      </w:r>
      <w:r>
        <w:rPr>
          <w:rFonts w:ascii="仿宋" w:eastAsia="仿宋" w:hAnsi="仿宋" w:cs="Times New Roman" w:hint="eastAsia"/>
          <w:color w:val="000000"/>
          <w:sz w:val="32"/>
          <w:szCs w:val="30"/>
        </w:rPr>
        <w:t xml:space="preserve"> 发行人应当在募集说明书扉页披露发行人及其全体董事、监事、高级管理人员或者履行同等职责的人员</w:t>
      </w:r>
      <w:r w:rsidR="00E71194">
        <w:rPr>
          <w:rFonts w:ascii="仿宋" w:eastAsia="仿宋" w:hAnsi="仿宋" w:cs="Times New Roman" w:hint="eastAsia"/>
          <w:color w:val="000000"/>
          <w:sz w:val="32"/>
          <w:szCs w:val="30"/>
        </w:rPr>
        <w:t>，</w:t>
      </w:r>
      <w:r>
        <w:rPr>
          <w:rFonts w:ascii="仿宋" w:eastAsia="仿宋" w:hAnsi="仿宋" w:cs="Times New Roman" w:hint="eastAsia"/>
          <w:color w:val="000000"/>
          <w:sz w:val="32"/>
          <w:szCs w:val="30"/>
        </w:rPr>
        <w:t>主承销商关于募集说明书等文件真实、准确、完整的声明，以及</w:t>
      </w:r>
      <w:r w:rsidR="007D64B8">
        <w:rPr>
          <w:rFonts w:ascii="仿宋" w:eastAsia="仿宋" w:hAnsi="仿宋" w:cs="Times New Roman" w:hint="eastAsia"/>
          <w:color w:val="000000"/>
          <w:sz w:val="32"/>
          <w:szCs w:val="30"/>
        </w:rPr>
        <w:t>提醒</w:t>
      </w:r>
      <w:r>
        <w:rPr>
          <w:rFonts w:ascii="仿宋" w:eastAsia="仿宋" w:hAnsi="仿宋" w:cs="Times New Roman" w:hint="eastAsia"/>
          <w:color w:val="000000"/>
          <w:sz w:val="32"/>
          <w:szCs w:val="30"/>
        </w:rPr>
        <w:t>投资者注意</w:t>
      </w:r>
      <w:r w:rsidR="007D64B8">
        <w:rPr>
          <w:rFonts w:ascii="仿宋" w:eastAsia="仿宋" w:hAnsi="仿宋" w:cs="Times New Roman" w:hint="eastAsia"/>
          <w:color w:val="000000"/>
          <w:sz w:val="32"/>
          <w:szCs w:val="30"/>
        </w:rPr>
        <w:t>的相关</w:t>
      </w:r>
      <w:r>
        <w:rPr>
          <w:rFonts w:ascii="仿宋" w:eastAsia="仿宋" w:hAnsi="仿宋" w:cs="Times New Roman" w:hint="eastAsia"/>
          <w:color w:val="000000"/>
          <w:sz w:val="32"/>
          <w:szCs w:val="30"/>
        </w:rPr>
        <w:t>事项，并承诺根据法律法规和募集说明书约定履行义务，接受投资者监督。</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第二十三条</w:t>
      </w:r>
      <w:r>
        <w:rPr>
          <w:rFonts w:ascii="仿宋" w:eastAsia="仿宋" w:hAnsi="仿宋" w:cs="Times New Roman" w:hint="eastAsia"/>
          <w:color w:val="000000"/>
          <w:sz w:val="32"/>
          <w:szCs w:val="30"/>
        </w:rPr>
        <w:t xml:space="preserve"> 发行人应当在募集说明书扉页中就重要影响事项作“重大事项提示”，提醒投资者关注。“重大事项提示”包括但不限于如下事项：</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（一）发行人基本财务情况；</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（二）涉及调整债券偿付期限或者利率的含权条款安排以及对投资者可能产生的影响；</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（三）增信措施具体安排以及相关风险；</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（四）审计报告意见为带强调事项段无保留意见或者保留意见</w:t>
      </w:r>
      <w:r w:rsidR="00B3574C">
        <w:rPr>
          <w:rFonts w:ascii="仿宋" w:eastAsia="仿宋" w:hAnsi="仿宋" w:cs="Times New Roman" w:hint="eastAsia"/>
          <w:color w:val="000000"/>
          <w:sz w:val="32"/>
          <w:szCs w:val="30"/>
        </w:rPr>
        <w:t>的</w:t>
      </w:r>
      <w:r>
        <w:rPr>
          <w:rFonts w:ascii="仿宋" w:eastAsia="仿宋" w:hAnsi="仿宋" w:cs="Times New Roman" w:hint="eastAsia"/>
          <w:color w:val="000000"/>
          <w:sz w:val="32"/>
          <w:szCs w:val="30"/>
        </w:rPr>
        <w:t>相关说明；</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（五）发行人偿债能力相关事项；</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（六）发行人对外担保金额占净资产的比例较大，或者发行人主要资产已被抵押、质押或者被查封、扣押、冻结等存在权利受到限制的其他情况；</w:t>
      </w:r>
    </w:p>
    <w:p w:rsidR="00DA5501" w:rsidRDefault="007C17D1">
      <w:pPr>
        <w:numPr>
          <w:ilvl w:val="0"/>
          <w:numId w:val="4"/>
        </w:num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正在进行重大资产重组或者其他重大交易；</w:t>
      </w:r>
    </w:p>
    <w:p w:rsidR="00DA5501" w:rsidRDefault="007C17D1">
      <w:pPr>
        <w:numPr>
          <w:ilvl w:val="0"/>
          <w:numId w:val="4"/>
        </w:num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发行人债务负担相关事项；</w:t>
      </w:r>
    </w:p>
    <w:p w:rsidR="00DA5501" w:rsidRDefault="007C17D1">
      <w:pPr>
        <w:numPr>
          <w:ilvl w:val="0"/>
          <w:numId w:val="4"/>
        </w:num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发行人控制权稳定性相关事项；</w:t>
      </w:r>
    </w:p>
    <w:p w:rsidR="00DA5501" w:rsidRDefault="007C17D1">
      <w:pPr>
        <w:numPr>
          <w:ilvl w:val="0"/>
          <w:numId w:val="4"/>
        </w:num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发行人重大不良信用记录、行政处罚或者重大未决诉</w:t>
      </w:r>
      <w:r>
        <w:rPr>
          <w:rFonts w:ascii="仿宋" w:eastAsia="仿宋" w:hAnsi="仿宋" w:cs="Times New Roman" w:hint="eastAsia"/>
          <w:color w:val="000000"/>
          <w:sz w:val="32"/>
          <w:szCs w:val="30"/>
        </w:rPr>
        <w:lastRenderedPageBreak/>
        <w:t>讼、仲裁事项；</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（十一）发行人所在行业风险事项；</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（十二）特殊类型公司相关事项，如投资控股型公司现金流来源、资源型企业资源储备现状</w:t>
      </w:r>
      <w:r w:rsidR="007D64B8">
        <w:rPr>
          <w:rFonts w:ascii="仿宋" w:eastAsia="仿宋" w:hAnsi="仿宋" w:cs="Times New Roman" w:hint="eastAsia"/>
          <w:color w:val="000000"/>
          <w:sz w:val="32"/>
          <w:szCs w:val="30"/>
        </w:rPr>
        <w:t>等</w:t>
      </w:r>
      <w:r>
        <w:rPr>
          <w:rFonts w:ascii="仿宋" w:eastAsia="仿宋" w:hAnsi="仿宋" w:cs="Times New Roman" w:hint="eastAsia"/>
          <w:color w:val="000000"/>
          <w:sz w:val="32"/>
          <w:szCs w:val="30"/>
        </w:rPr>
        <w:t>；</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（十三）重大投资者保护条款；</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（十四）资信评级机构对公司债券进行信用评级的，资信评级机构、债券资信等级、评级报告中揭示的主要风险以及跟踪评级安排；</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（十五）本次债券的发行对象、拟上市场所、上市风险和相关应对安排，以及是否符合标准质押式回购条件；</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（十六）对投资者判断债券价值、偿债能力</w:t>
      </w:r>
      <w:r w:rsidR="00736E3B">
        <w:rPr>
          <w:rFonts w:ascii="仿宋" w:eastAsia="仿宋" w:hAnsi="仿宋" w:cs="Times New Roman" w:hint="eastAsia"/>
          <w:color w:val="000000"/>
          <w:sz w:val="32"/>
          <w:szCs w:val="30"/>
        </w:rPr>
        <w:t>和</w:t>
      </w:r>
      <w:r>
        <w:rPr>
          <w:rFonts w:ascii="仿宋" w:eastAsia="仿宋" w:hAnsi="仿宋" w:cs="Times New Roman" w:hint="eastAsia"/>
          <w:color w:val="000000"/>
          <w:sz w:val="32"/>
          <w:szCs w:val="30"/>
        </w:rPr>
        <w:t>投资者权益存在重大影响的其他事项。</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第二十四条</w:t>
      </w:r>
      <w:r>
        <w:rPr>
          <w:rFonts w:ascii="仿宋" w:eastAsia="仿宋" w:hAnsi="仿宋" w:cs="Times New Roman" w:hint="eastAsia"/>
          <w:color w:val="000000"/>
          <w:sz w:val="32"/>
          <w:szCs w:val="30"/>
        </w:rPr>
        <w:t xml:space="preserve"> 发行人应当遵循重要性原则，披露直接或者间接可能对其生产经营状况、财务状况和债务偿付能力产生重大不利影响的风险因素，特别是企业在业务、市场营销、技术、财务、行业环境、发展前景、融资渠道等方面存在的困难、障碍以及或有损失。</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相关风险因素在最近一个会计报告期内已造成损失的，应当予以清晰表述。</w:t>
      </w:r>
      <w:r w:rsidRPr="003E67DF">
        <w:rPr>
          <w:rFonts w:ascii="仿宋" w:eastAsia="仿宋" w:hAnsi="仿宋" w:cs="Times New Roman" w:hint="eastAsia"/>
          <w:color w:val="000000"/>
          <w:sz w:val="32"/>
          <w:szCs w:val="30"/>
        </w:rPr>
        <w:t>对</w:t>
      </w:r>
      <w:r>
        <w:rPr>
          <w:rFonts w:ascii="仿宋" w:eastAsia="仿宋" w:hAnsi="仿宋" w:cs="Times New Roman" w:hint="eastAsia"/>
          <w:color w:val="000000"/>
          <w:sz w:val="32"/>
          <w:szCs w:val="30"/>
        </w:rPr>
        <w:t>本次债券</w:t>
      </w:r>
      <w:r w:rsidRPr="003E67DF">
        <w:rPr>
          <w:rFonts w:ascii="仿宋" w:eastAsia="仿宋" w:hAnsi="仿宋" w:cs="Times New Roman" w:hint="eastAsia"/>
          <w:color w:val="000000"/>
          <w:sz w:val="32"/>
          <w:szCs w:val="30"/>
        </w:rPr>
        <w:t>的偿付</w:t>
      </w:r>
      <w:r w:rsidR="00736E3B">
        <w:rPr>
          <w:rFonts w:ascii="仿宋" w:eastAsia="仿宋" w:hAnsi="仿宋" w:cs="Times New Roman" w:hint="eastAsia"/>
          <w:color w:val="000000"/>
          <w:sz w:val="32"/>
          <w:szCs w:val="30"/>
        </w:rPr>
        <w:t>存在</w:t>
      </w:r>
      <w:r w:rsidRPr="003E67DF">
        <w:rPr>
          <w:rFonts w:ascii="仿宋" w:eastAsia="仿宋" w:hAnsi="仿宋" w:cs="Times New Roman" w:hint="eastAsia"/>
          <w:color w:val="000000"/>
          <w:sz w:val="32"/>
          <w:szCs w:val="30"/>
        </w:rPr>
        <w:t>严重不利影响的，应当作“重大事项提示”</w:t>
      </w:r>
      <w:r w:rsidR="00736E3B">
        <w:rPr>
          <w:rFonts w:ascii="仿宋" w:eastAsia="仿宋" w:hAnsi="仿宋" w:cs="Times New Roman" w:hint="eastAsia"/>
          <w:color w:val="000000"/>
          <w:sz w:val="32"/>
          <w:szCs w:val="30"/>
        </w:rPr>
        <w:t>。</w:t>
      </w:r>
    </w:p>
    <w:p w:rsidR="00DA5501" w:rsidRDefault="007C17D1">
      <w:pPr>
        <w:adjustRightInd w:val="0"/>
        <w:snapToGrid w:val="0"/>
        <w:spacing w:line="560" w:lineRule="exact"/>
        <w:ind w:firstLineChars="200" w:firstLine="640"/>
        <w:rPr>
          <w:rFonts w:ascii="仿宋" w:eastAsia="仿宋" w:hAnsi="仿宋" w:cs="Times New Roman"/>
          <w:b/>
          <w:color w:val="000000"/>
          <w:sz w:val="32"/>
          <w:szCs w:val="30"/>
        </w:rPr>
      </w:pPr>
      <w:r>
        <w:rPr>
          <w:rFonts w:ascii="仿宋" w:eastAsia="仿宋" w:hAnsi="仿宋" w:cs="Times New Roman" w:hint="eastAsia"/>
          <w:color w:val="000000"/>
          <w:sz w:val="32"/>
          <w:szCs w:val="30"/>
        </w:rPr>
        <w:t>创新品种公司债券还应当结合产品特点披露产品特有风险。</w:t>
      </w:r>
    </w:p>
    <w:p w:rsidR="00DA5501" w:rsidRPr="003E67DF" w:rsidRDefault="007C17D1">
      <w:pPr>
        <w:adjustRightInd w:val="0"/>
        <w:snapToGrid w:val="0"/>
        <w:spacing w:line="560" w:lineRule="exact"/>
        <w:ind w:firstLineChars="200" w:firstLine="643"/>
        <w:rPr>
          <w:rFonts w:ascii="仿宋" w:eastAsia="仿宋" w:hAnsi="仿宋" w:cs="Times New Roman"/>
          <w:bCs/>
          <w:color w:val="000000"/>
          <w:sz w:val="32"/>
          <w:szCs w:val="30"/>
        </w:rPr>
      </w:pPr>
      <w:r>
        <w:rPr>
          <w:rFonts w:ascii="仿宋" w:eastAsia="仿宋" w:hAnsi="仿宋" w:cs="Times New Roman" w:hint="eastAsia"/>
          <w:b/>
          <w:color w:val="000000"/>
          <w:sz w:val="32"/>
          <w:szCs w:val="30"/>
        </w:rPr>
        <w:t xml:space="preserve">第二十五条 </w:t>
      </w:r>
      <w:r w:rsidRPr="003E67DF">
        <w:rPr>
          <w:rFonts w:ascii="仿宋" w:eastAsia="仿宋" w:hAnsi="仿宋" w:cs="Times New Roman" w:hint="eastAsia"/>
          <w:bCs/>
          <w:color w:val="000000"/>
          <w:sz w:val="32"/>
          <w:szCs w:val="30"/>
        </w:rPr>
        <w:t>发行人应当用粗体明确提示风险和可能产生的</w:t>
      </w:r>
      <w:r w:rsidRPr="003E67DF">
        <w:rPr>
          <w:rFonts w:ascii="仿宋" w:eastAsia="仿宋" w:hAnsi="仿宋" w:cs="Times New Roman" w:hint="eastAsia"/>
          <w:bCs/>
          <w:color w:val="000000"/>
          <w:sz w:val="32"/>
          <w:szCs w:val="30"/>
        </w:rPr>
        <w:lastRenderedPageBreak/>
        <w:t>后果，不得只提示风险种类。发行人应当披露的风险包括但不限于：</w:t>
      </w:r>
    </w:p>
    <w:p w:rsidR="00DA5501" w:rsidRPr="003E67DF" w:rsidRDefault="007C17D1" w:rsidP="003E67DF">
      <w:pPr>
        <w:adjustRightInd w:val="0"/>
        <w:snapToGrid w:val="0"/>
        <w:spacing w:line="560" w:lineRule="exact"/>
        <w:ind w:firstLineChars="200" w:firstLine="640"/>
        <w:rPr>
          <w:rFonts w:ascii="仿宋" w:eastAsia="仿宋" w:hAnsi="仿宋" w:cs="Times New Roman"/>
          <w:bCs/>
          <w:color w:val="000000"/>
          <w:sz w:val="32"/>
          <w:szCs w:val="30"/>
        </w:rPr>
      </w:pPr>
      <w:r w:rsidRPr="003E67DF">
        <w:rPr>
          <w:rFonts w:ascii="仿宋" w:eastAsia="仿宋" w:hAnsi="仿宋" w:cs="Times New Roman" w:hint="eastAsia"/>
          <w:bCs/>
          <w:color w:val="000000"/>
          <w:sz w:val="32"/>
          <w:szCs w:val="30"/>
        </w:rPr>
        <w:t>（一）本次债券的投资风险，包括利率风险、流动性风险、偿付风险、本次债券安排所特有的风险等</w:t>
      </w:r>
      <w:r w:rsidRPr="003E67DF">
        <w:rPr>
          <w:rFonts w:ascii="仿宋" w:eastAsia="仿宋" w:hAnsi="仿宋" w:cs="Times New Roman"/>
          <w:bCs/>
          <w:color w:val="000000"/>
          <w:sz w:val="32"/>
          <w:szCs w:val="30"/>
        </w:rPr>
        <w:t>;</w:t>
      </w:r>
    </w:p>
    <w:p w:rsidR="00DA5501" w:rsidRDefault="007C17D1" w:rsidP="003E67DF">
      <w:pPr>
        <w:adjustRightInd w:val="0"/>
        <w:snapToGrid w:val="0"/>
        <w:spacing w:line="560" w:lineRule="exact"/>
        <w:ind w:firstLineChars="200" w:firstLine="640"/>
        <w:rPr>
          <w:rFonts w:ascii="仿宋" w:eastAsia="仿宋" w:hAnsi="仿宋" w:cs="Times New Roman"/>
          <w:bCs/>
          <w:color w:val="000000"/>
          <w:sz w:val="32"/>
          <w:szCs w:val="30"/>
        </w:rPr>
      </w:pPr>
      <w:r w:rsidRPr="003E67DF">
        <w:rPr>
          <w:rFonts w:ascii="仿宋" w:eastAsia="仿宋" w:hAnsi="仿宋" w:cs="Times New Roman" w:hint="eastAsia"/>
          <w:bCs/>
          <w:color w:val="000000"/>
          <w:sz w:val="32"/>
          <w:szCs w:val="30"/>
        </w:rPr>
        <w:t>（二）发行人的相关风险，包括财务风险、经营风险、管理风险、政策风险等。</w:t>
      </w:r>
    </w:p>
    <w:p w:rsidR="00DA5501" w:rsidRDefault="007C17D1">
      <w:pPr>
        <w:adjustRightInd w:val="0"/>
        <w:snapToGrid w:val="0"/>
        <w:spacing w:line="560" w:lineRule="exact"/>
        <w:ind w:firstLineChars="200" w:firstLine="643"/>
        <w:rPr>
          <w:rFonts w:ascii="仿宋" w:eastAsia="仿宋" w:hAnsi="仿宋" w:cs="Times New Roman"/>
          <w:bCs/>
          <w:color w:val="000000"/>
          <w:sz w:val="32"/>
          <w:szCs w:val="30"/>
        </w:rPr>
      </w:pPr>
      <w:r>
        <w:rPr>
          <w:rFonts w:ascii="仿宋" w:eastAsia="仿宋" w:hAnsi="仿宋" w:cs="Times New Roman" w:hint="eastAsia"/>
          <w:b/>
          <w:color w:val="000000"/>
          <w:sz w:val="32"/>
          <w:szCs w:val="30"/>
        </w:rPr>
        <w:t xml:space="preserve">第二十六条 </w:t>
      </w:r>
      <w:r>
        <w:rPr>
          <w:rFonts w:ascii="仿宋" w:eastAsia="仿宋" w:hAnsi="仿宋" w:cs="Times New Roman" w:hint="eastAsia"/>
          <w:bCs/>
          <w:color w:val="000000"/>
          <w:sz w:val="32"/>
          <w:szCs w:val="30"/>
        </w:rPr>
        <w:t>发行人应当披露发行人有权机构对本次发行的批准情况以及审核机关的审核情况。</w:t>
      </w:r>
    </w:p>
    <w:p w:rsidR="00DA5501" w:rsidRDefault="007C17D1">
      <w:pPr>
        <w:adjustRightInd w:val="0"/>
        <w:snapToGrid w:val="0"/>
        <w:spacing w:line="560" w:lineRule="exact"/>
        <w:ind w:firstLineChars="200" w:firstLine="643"/>
        <w:rPr>
          <w:rFonts w:ascii="仿宋" w:eastAsia="仿宋" w:hAnsi="仿宋" w:cs="Times New Roman"/>
          <w:bCs/>
          <w:color w:val="000000"/>
          <w:sz w:val="32"/>
          <w:szCs w:val="30"/>
        </w:rPr>
      </w:pPr>
      <w:r>
        <w:rPr>
          <w:rFonts w:ascii="仿宋" w:eastAsia="仿宋" w:hAnsi="仿宋" w:cs="Times New Roman" w:hint="eastAsia"/>
          <w:b/>
          <w:color w:val="000000"/>
          <w:sz w:val="32"/>
          <w:szCs w:val="30"/>
        </w:rPr>
        <w:t xml:space="preserve">第二十七条 </w:t>
      </w:r>
      <w:r>
        <w:rPr>
          <w:rFonts w:ascii="仿宋" w:eastAsia="仿宋" w:hAnsi="仿宋" w:cs="Times New Roman" w:hint="eastAsia"/>
          <w:bCs/>
          <w:color w:val="000000"/>
          <w:sz w:val="32"/>
          <w:szCs w:val="30"/>
        </w:rPr>
        <w:t>发行人应当披露债券基本信息和发行安排。</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第二十八条</w:t>
      </w:r>
      <w:r>
        <w:rPr>
          <w:rFonts w:ascii="仿宋" w:eastAsia="仿宋" w:hAnsi="仿宋" w:cs="Times New Roman" w:hint="eastAsia"/>
          <w:color w:val="000000"/>
          <w:sz w:val="32"/>
          <w:szCs w:val="30"/>
        </w:rPr>
        <w:t xml:space="preserve"> 债券设赎回选择权的，募集说明书中应当约定行使赎回权的时间、赎回价格、赎回条件，并明确发行人在满足赎回条件时，应当披露是否行使赎回权以及行使赎回权的程序、赎回登记日、赎回价格、付款方法、付款时间等赎回安排。</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第二十九条</w:t>
      </w:r>
      <w:r>
        <w:rPr>
          <w:rFonts w:ascii="仿宋" w:eastAsia="仿宋" w:hAnsi="仿宋" w:cs="Times New Roman" w:hint="eastAsia"/>
          <w:color w:val="000000"/>
          <w:sz w:val="32"/>
          <w:szCs w:val="30"/>
        </w:rPr>
        <w:t xml:space="preserve"> 债券设票面利率调整选择权的，募集说明书中应当约定票面利率调整的具体方式、调整后利率的适用期间、发行人权利与义务、发行人未行权的法律后果等事项。</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第三十条</w:t>
      </w:r>
      <w:r>
        <w:rPr>
          <w:rFonts w:ascii="仿宋" w:eastAsia="仿宋" w:hAnsi="仿宋" w:cs="Times New Roman" w:hint="eastAsia"/>
          <w:color w:val="000000"/>
          <w:sz w:val="32"/>
          <w:szCs w:val="30"/>
        </w:rPr>
        <w:t xml:space="preserve"> 债券设投资者回售</w:t>
      </w:r>
      <w:r w:rsidR="00B3574C">
        <w:rPr>
          <w:rFonts w:ascii="仿宋" w:eastAsia="仿宋" w:hAnsi="仿宋" w:cs="Times New Roman" w:hint="eastAsia"/>
          <w:color w:val="000000"/>
          <w:sz w:val="32"/>
          <w:szCs w:val="30"/>
        </w:rPr>
        <w:t>选择</w:t>
      </w:r>
      <w:r>
        <w:rPr>
          <w:rFonts w:ascii="仿宋" w:eastAsia="仿宋" w:hAnsi="仿宋" w:cs="Times New Roman" w:hint="eastAsia"/>
          <w:color w:val="000000"/>
          <w:sz w:val="32"/>
          <w:szCs w:val="30"/>
        </w:rPr>
        <w:t>权的，募集说明书中应当约定投资者可行使回售权的条件、回售价格，并明确发行人在满足回售条件时，应当披露回售程序、回售申报期、回售价格、付款方法、付款时间等回售安排。发行人应当根据自身财务状况、偿债能力、偿付期限安排等因素评估回售条款对债务期限结构以及偿债压力的影响，审慎设置回售条款。</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bCs/>
          <w:color w:val="000000"/>
          <w:sz w:val="32"/>
          <w:szCs w:val="30"/>
        </w:rPr>
        <w:lastRenderedPageBreak/>
        <w:t>第三十一条</w:t>
      </w:r>
      <w:r>
        <w:rPr>
          <w:rFonts w:ascii="仿宋" w:eastAsia="仿宋" w:hAnsi="仿宋" w:cs="Times New Roman" w:hint="eastAsia"/>
          <w:color w:val="000000"/>
          <w:sz w:val="32"/>
          <w:szCs w:val="30"/>
        </w:rPr>
        <w:t xml:space="preserve"> 债券设分期偿还安排的，募集说明书中应当约定分期偿还本金的具体安排、发行人义务等事项。</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bCs/>
          <w:color w:val="000000"/>
          <w:sz w:val="32"/>
          <w:szCs w:val="30"/>
        </w:rPr>
        <w:t xml:space="preserve">第三十二条 </w:t>
      </w:r>
      <w:r>
        <w:rPr>
          <w:rFonts w:ascii="仿宋" w:eastAsia="仿宋" w:hAnsi="仿宋" w:cs="Times New Roman" w:hint="eastAsia"/>
          <w:color w:val="000000"/>
          <w:sz w:val="32"/>
          <w:szCs w:val="30"/>
        </w:rPr>
        <w:t>发行人可以在募集说明书中约定对本次债券实施债券置换或者债券购回，并在募集说明书中披露置换或者购回的实施条件以及方案、投资者权利义务和相应的法律后果。</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bCs/>
          <w:color w:val="000000"/>
          <w:sz w:val="32"/>
          <w:szCs w:val="30"/>
        </w:rPr>
        <w:t>第三十三条</w:t>
      </w:r>
      <w:r>
        <w:rPr>
          <w:rFonts w:ascii="仿宋" w:eastAsia="仿宋" w:hAnsi="仿宋" w:cs="Times New Roman" w:hint="eastAsia"/>
          <w:color w:val="000000"/>
          <w:sz w:val="32"/>
          <w:szCs w:val="30"/>
        </w:rPr>
        <w:t xml:space="preserve"> 可交换公司债券募集说明书中应当约定换股期限、初始换股价格的确定方法、调整</w:t>
      </w:r>
      <w:r w:rsidR="00B3574C">
        <w:rPr>
          <w:rFonts w:ascii="仿宋" w:eastAsia="仿宋" w:hAnsi="仿宋" w:cs="Times New Roman" w:hint="eastAsia"/>
          <w:color w:val="000000"/>
          <w:sz w:val="32"/>
          <w:szCs w:val="30"/>
        </w:rPr>
        <w:t>和</w:t>
      </w:r>
      <w:r>
        <w:rPr>
          <w:rFonts w:ascii="仿宋" w:eastAsia="仿宋" w:hAnsi="仿宋" w:cs="Times New Roman" w:hint="eastAsia"/>
          <w:color w:val="000000"/>
          <w:sz w:val="32"/>
          <w:szCs w:val="30"/>
        </w:rPr>
        <w:t>修正换股价格机制、预备用于交换的股票数量不足时的补足安排等，并就可交换公司债券的停复牌事项、交易指令顺序、信息披露规则等进行说明。</w:t>
      </w:r>
    </w:p>
    <w:p w:rsidR="00DA5501" w:rsidRDefault="007C17D1">
      <w:pPr>
        <w:adjustRightInd w:val="0"/>
        <w:snapToGrid w:val="0"/>
        <w:spacing w:line="560" w:lineRule="exact"/>
        <w:ind w:leftChars="50" w:left="105" w:firstLineChars="150" w:firstLine="482"/>
        <w:rPr>
          <w:rFonts w:ascii="仿宋" w:eastAsia="仿宋" w:hAnsi="仿宋" w:cs="Times New Roman"/>
          <w:color w:val="000000"/>
          <w:sz w:val="32"/>
          <w:szCs w:val="30"/>
        </w:rPr>
      </w:pPr>
      <w:r>
        <w:rPr>
          <w:rFonts w:ascii="仿宋" w:eastAsia="仿宋" w:hAnsi="仿宋" w:cs="Times New Roman" w:hint="eastAsia"/>
          <w:b/>
          <w:color w:val="000000"/>
          <w:sz w:val="32"/>
          <w:szCs w:val="30"/>
        </w:rPr>
        <w:t>第三十四条</w:t>
      </w:r>
      <w:r>
        <w:rPr>
          <w:rFonts w:ascii="仿宋" w:eastAsia="仿宋" w:hAnsi="仿宋" w:cs="Times New Roman" w:hint="eastAsia"/>
          <w:color w:val="000000"/>
          <w:sz w:val="32"/>
          <w:szCs w:val="30"/>
        </w:rPr>
        <w:t xml:space="preserve"> 发行人应当披露募集资金使用的合规性、使用计划以及管理制度等。</w:t>
      </w:r>
    </w:p>
    <w:p w:rsidR="00DA5501" w:rsidRDefault="007C17D1">
      <w:pPr>
        <w:adjustRightInd w:val="0"/>
        <w:snapToGrid w:val="0"/>
        <w:spacing w:line="560" w:lineRule="exact"/>
        <w:ind w:leftChars="50" w:left="105" w:firstLineChars="150" w:firstLine="480"/>
        <w:rPr>
          <w:rFonts w:ascii="仿宋" w:eastAsia="仿宋" w:hAnsi="仿宋" w:cs="Times New Roman"/>
          <w:color w:val="000000"/>
          <w:sz w:val="32"/>
          <w:szCs w:val="30"/>
        </w:rPr>
      </w:pPr>
      <w:r>
        <w:rPr>
          <w:rFonts w:ascii="仿宋" w:eastAsia="仿宋" w:hAnsi="仿宋" w:cs="Times New Roman" w:hint="eastAsia"/>
          <w:color w:val="000000"/>
          <w:sz w:val="32"/>
          <w:szCs w:val="30"/>
        </w:rPr>
        <w:t>发行人募集资金可用于补充流动资金、偿还有息负债、项目投资、股权投资或者资产收购等，并应当按照以下要求进行披露：</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（一）募集资金用于偿还有息债务的，应当披露偿还有息债务具体范围。</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（二）募集资金用于补充流动资金的，应当符合法律法规和公司章程等的规定。发行人应当充分披露补充流动资金的理由、拟补充流动资金的业务以及对公司财务状况的影响。</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（三）募集资金用于项目投资、股权投资或者收购资产的，应当披露拟投资项目的基本情况、股权投资情况、拟收购资产的基本情况。涉及立项、土地、环保等主管部门批准的，发行人应</w:t>
      </w:r>
      <w:r>
        <w:rPr>
          <w:rFonts w:ascii="仿宋" w:eastAsia="仿宋" w:hAnsi="仿宋" w:cs="Times New Roman" w:hint="eastAsia"/>
          <w:color w:val="000000"/>
          <w:sz w:val="32"/>
          <w:szCs w:val="30"/>
        </w:rPr>
        <w:lastRenderedPageBreak/>
        <w:t>当披露已经取得的主管部门批准情况。涉及股权投资的，应当披露被投资单位主营业务与发行人主营业务的相关性。</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（四）募集资金用于设立或者认购基金份额的，应当符合《关于规范金融机构资产管理业务的指导意见》等资产管理业务相关规定。发行人应当在募集说明书中披露基金设立情况、运营情况以及退出方式等。</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第三十五条</w:t>
      </w:r>
      <w:r>
        <w:rPr>
          <w:rFonts w:ascii="仿宋" w:eastAsia="仿宋" w:hAnsi="仿宋" w:cs="Times New Roman" w:hint="eastAsia"/>
          <w:color w:val="000000"/>
          <w:sz w:val="32"/>
          <w:szCs w:val="30"/>
        </w:rPr>
        <w:t xml:space="preserve"> 发行人应当合理、审慎确定募集资金规模和用途。因特殊情形确需在发行前调整公司债券募集资金用途的，发行人原则上应当在发行前向本所提交申请文件，说明原因、履行的内部程序，补充提交相关决议文件，并修改相应发行申请文件。</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bCs/>
          <w:color w:val="000000"/>
          <w:sz w:val="32"/>
          <w:szCs w:val="30"/>
        </w:rPr>
        <w:t>第三十六条</w:t>
      </w:r>
      <w:r>
        <w:rPr>
          <w:rFonts w:ascii="仿宋" w:eastAsia="仿宋" w:hAnsi="仿宋" w:cs="Times New Roman"/>
          <w:b/>
          <w:bCs/>
          <w:color w:val="000000"/>
          <w:sz w:val="32"/>
          <w:szCs w:val="30"/>
        </w:rPr>
        <w:t xml:space="preserve"> </w:t>
      </w:r>
      <w:r>
        <w:rPr>
          <w:rFonts w:ascii="仿宋" w:eastAsia="仿宋" w:hAnsi="仿宋" w:cs="Times New Roman" w:hint="eastAsia"/>
          <w:color w:val="000000"/>
          <w:sz w:val="32"/>
          <w:szCs w:val="30"/>
        </w:rPr>
        <w:t>发行人应当承诺在</w:t>
      </w:r>
      <w:r w:rsidR="00C25579">
        <w:rPr>
          <w:rFonts w:ascii="仿宋" w:eastAsia="仿宋" w:hAnsi="仿宋" w:cs="Times New Roman" w:hint="eastAsia"/>
          <w:color w:val="000000"/>
          <w:sz w:val="32"/>
          <w:szCs w:val="30"/>
        </w:rPr>
        <w:t>债券</w:t>
      </w:r>
      <w:r>
        <w:rPr>
          <w:rFonts w:ascii="仿宋" w:eastAsia="仿宋" w:hAnsi="仿宋" w:cs="Times New Roman" w:hint="eastAsia"/>
          <w:color w:val="000000"/>
          <w:sz w:val="32"/>
          <w:szCs w:val="30"/>
        </w:rPr>
        <w:t>存续期</w:t>
      </w:r>
      <w:r w:rsidR="00C25579">
        <w:rPr>
          <w:rFonts w:ascii="仿宋" w:eastAsia="仿宋" w:hAnsi="仿宋" w:cs="Times New Roman" w:hint="eastAsia"/>
          <w:color w:val="000000"/>
          <w:sz w:val="32"/>
          <w:szCs w:val="30"/>
        </w:rPr>
        <w:t>内</w:t>
      </w:r>
      <w:r>
        <w:rPr>
          <w:rFonts w:ascii="仿宋" w:eastAsia="仿宋" w:hAnsi="仿宋" w:cs="Times New Roman" w:hint="eastAsia"/>
          <w:color w:val="000000"/>
          <w:sz w:val="32"/>
          <w:szCs w:val="30"/>
        </w:rPr>
        <w:t>改变</w:t>
      </w:r>
      <w:r w:rsidR="00E71194">
        <w:rPr>
          <w:rFonts w:ascii="仿宋" w:eastAsia="仿宋" w:hAnsi="仿宋" w:cs="Times New Roman" w:hint="eastAsia"/>
          <w:color w:val="000000"/>
          <w:sz w:val="32"/>
          <w:szCs w:val="30"/>
        </w:rPr>
        <w:t>募集</w:t>
      </w:r>
      <w:r>
        <w:rPr>
          <w:rFonts w:ascii="仿宋" w:eastAsia="仿宋" w:hAnsi="仿宋" w:cs="Times New Roman" w:hint="eastAsia"/>
          <w:color w:val="000000"/>
          <w:sz w:val="32"/>
          <w:szCs w:val="30"/>
        </w:rPr>
        <w:t>资金用途前履行相应程序并及时披露有关信息。</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因生产经营和资金使用计划需要，发行人可以根据对偿债能力和债券持有人权益的影响，在募集说明书中约定调整偿还债务明细、调整补充流动资金的业务、调整募投项目、在不影响偿债计划的前提下暂时用于补充流动资金以及现金管理安排等，并充分披露应当履行的决策程序和风控措施。募集资金用途根据规定有严格限定的除外。</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前款规定的事项应当同时在《债券持有人会议规则》和《债券受托管理协议》中进行约定。</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bCs/>
          <w:color w:val="000000"/>
          <w:sz w:val="32"/>
          <w:szCs w:val="30"/>
        </w:rPr>
        <w:t xml:space="preserve">第三十七条 </w:t>
      </w:r>
      <w:r>
        <w:rPr>
          <w:rFonts w:ascii="仿宋" w:eastAsia="仿宋" w:hAnsi="仿宋" w:cs="Times New Roman" w:hint="eastAsia"/>
          <w:color w:val="000000"/>
          <w:sz w:val="32"/>
          <w:szCs w:val="30"/>
        </w:rPr>
        <w:t>发行人应当披露募集资金专项账户情况</w:t>
      </w:r>
      <w:r w:rsidR="00C25579">
        <w:rPr>
          <w:rFonts w:ascii="仿宋" w:eastAsia="仿宋" w:hAnsi="仿宋" w:cs="Times New Roman" w:hint="eastAsia"/>
          <w:color w:val="000000"/>
          <w:sz w:val="32"/>
          <w:szCs w:val="30"/>
        </w:rPr>
        <w:t>和</w:t>
      </w:r>
      <w:r>
        <w:rPr>
          <w:rFonts w:ascii="仿宋" w:eastAsia="仿宋" w:hAnsi="仿宋" w:cs="Times New Roman" w:hint="eastAsia"/>
          <w:color w:val="000000"/>
          <w:sz w:val="32"/>
          <w:szCs w:val="30"/>
        </w:rPr>
        <w:t>专户管理安排，明确其用于公司债券募集资金的接收、存储、划转。</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bCs/>
          <w:color w:val="000000"/>
          <w:sz w:val="32"/>
          <w:szCs w:val="30"/>
        </w:rPr>
        <w:lastRenderedPageBreak/>
        <w:t xml:space="preserve">第三十八条 </w:t>
      </w:r>
      <w:r>
        <w:rPr>
          <w:rFonts w:ascii="仿宋" w:eastAsia="仿宋" w:hAnsi="仿宋" w:cs="Times New Roman" w:hint="eastAsia"/>
          <w:color w:val="000000"/>
          <w:sz w:val="32"/>
          <w:szCs w:val="30"/>
        </w:rPr>
        <w:t>发行人应当在募集说明书中披露前次债券的发行情况和募集资金的使用情况。主承销商、发行人律师应当对前次募集资金是否用于募集说明书约定的用途进行核查并发表</w:t>
      </w:r>
      <w:r w:rsidR="00F02857">
        <w:rPr>
          <w:rFonts w:ascii="仿宋" w:eastAsia="仿宋" w:hAnsi="仿宋" w:cs="Times New Roman" w:hint="eastAsia"/>
          <w:color w:val="000000"/>
          <w:sz w:val="32"/>
          <w:szCs w:val="30"/>
        </w:rPr>
        <w:t>明确</w:t>
      </w:r>
      <w:r>
        <w:rPr>
          <w:rFonts w:ascii="仿宋" w:eastAsia="仿宋" w:hAnsi="仿宋" w:cs="Times New Roman" w:hint="eastAsia"/>
          <w:color w:val="000000"/>
          <w:sz w:val="32"/>
          <w:szCs w:val="30"/>
        </w:rPr>
        <w:t>意见。</w:t>
      </w:r>
    </w:p>
    <w:p w:rsidR="00DA5501" w:rsidRDefault="007C17D1">
      <w:pPr>
        <w:adjustRightInd w:val="0"/>
        <w:snapToGrid w:val="0"/>
        <w:spacing w:line="560" w:lineRule="exact"/>
        <w:ind w:firstLineChars="200" w:firstLine="643"/>
        <w:rPr>
          <w:rFonts w:ascii="仿宋" w:eastAsia="仿宋" w:hAnsi="仿宋" w:cs="Times New Roman"/>
          <w:bCs/>
          <w:color w:val="000000"/>
          <w:sz w:val="32"/>
          <w:szCs w:val="30"/>
        </w:rPr>
      </w:pPr>
      <w:r>
        <w:rPr>
          <w:rFonts w:ascii="仿宋" w:eastAsia="仿宋" w:hAnsi="仿宋" w:cs="Times New Roman" w:hint="eastAsia"/>
          <w:b/>
          <w:color w:val="000000"/>
          <w:sz w:val="32"/>
          <w:szCs w:val="30"/>
        </w:rPr>
        <w:t>第三十九条</w:t>
      </w:r>
      <w:r>
        <w:rPr>
          <w:rFonts w:ascii="仿宋" w:eastAsia="仿宋" w:hAnsi="仿宋" w:cs="Times New Roman" w:hint="eastAsia"/>
          <w:bCs/>
          <w:color w:val="000000"/>
          <w:sz w:val="32"/>
          <w:szCs w:val="30"/>
        </w:rPr>
        <w:t xml:space="preserve"> 发行人应当简要披露其基本情况，所属行业应当参照《上市公司行业分类指引》明确。</w:t>
      </w:r>
    </w:p>
    <w:p w:rsidR="00DA5501" w:rsidRDefault="007C17D1">
      <w:pPr>
        <w:widowControl/>
        <w:spacing w:line="560" w:lineRule="exact"/>
        <w:ind w:firstLineChars="200" w:firstLine="643"/>
        <w:rPr>
          <w:rFonts w:ascii="仿宋_GB2312" w:eastAsia="仿宋_GB2312" w:hAnsi="仿宋_GB2312"/>
          <w:sz w:val="32"/>
          <w:szCs w:val="32"/>
        </w:rPr>
      </w:pPr>
      <w:r>
        <w:rPr>
          <w:rFonts w:ascii="仿宋" w:eastAsia="仿宋" w:hAnsi="仿宋" w:cs="Times New Roman" w:hint="eastAsia"/>
          <w:b/>
          <w:color w:val="000000"/>
          <w:sz w:val="32"/>
          <w:szCs w:val="30"/>
        </w:rPr>
        <w:t xml:space="preserve">第四十条 </w:t>
      </w:r>
      <w:r>
        <w:rPr>
          <w:rFonts w:ascii="仿宋_GB2312" w:eastAsia="仿宋_GB2312" w:hAnsi="仿宋_GB2312" w:hint="eastAsia"/>
          <w:sz w:val="32"/>
          <w:szCs w:val="32"/>
        </w:rPr>
        <w:t>发行人应当以主要实体的承继关系为主线，披露发行人设立、名称变更以及股本结构历次变动情况，包括但不限于改制、重大增减资、合并、分立、破产重整等重要事件。</w:t>
      </w:r>
    </w:p>
    <w:p w:rsidR="00DA5501" w:rsidRDefault="007C17D1">
      <w:pPr>
        <w:adjustRightInd w:val="0"/>
        <w:snapToGrid w:val="0"/>
        <w:spacing w:line="560" w:lineRule="exact"/>
        <w:ind w:firstLineChars="200" w:firstLine="643"/>
        <w:rPr>
          <w:rFonts w:ascii="仿宋" w:eastAsia="仿宋" w:hAnsi="仿宋" w:cs="Times New Roman"/>
          <w:bCs/>
          <w:color w:val="000000"/>
          <w:sz w:val="32"/>
          <w:szCs w:val="30"/>
        </w:rPr>
      </w:pPr>
      <w:r>
        <w:rPr>
          <w:rFonts w:ascii="仿宋" w:eastAsia="仿宋" w:hAnsi="仿宋" w:cs="Times New Roman" w:hint="eastAsia"/>
          <w:b/>
          <w:color w:val="000000"/>
          <w:sz w:val="32"/>
          <w:szCs w:val="30"/>
        </w:rPr>
        <w:t>第四十一条</w:t>
      </w:r>
      <w:r>
        <w:rPr>
          <w:rFonts w:ascii="仿宋" w:eastAsia="仿宋" w:hAnsi="仿宋" w:cs="Times New Roman" w:hint="eastAsia"/>
          <w:bCs/>
          <w:color w:val="000000"/>
          <w:sz w:val="32"/>
          <w:szCs w:val="30"/>
        </w:rPr>
        <w:t xml:space="preserve"> 发行人应当披露控股股东和实际控制人的基本情况、持股情况、资信情况、</w:t>
      </w:r>
      <w:r>
        <w:rPr>
          <w:rFonts w:ascii="仿宋" w:eastAsia="仿宋" w:hAnsi="仿宋" w:cs="Times New Roman" w:hint="eastAsia"/>
          <w:color w:val="000000"/>
          <w:sz w:val="32"/>
          <w:szCs w:val="30"/>
        </w:rPr>
        <w:t>被媒体质疑的重大事项</w:t>
      </w:r>
      <w:r>
        <w:rPr>
          <w:rFonts w:ascii="仿宋" w:eastAsia="仿宋" w:hAnsi="仿宋" w:cs="Times New Roman" w:hint="eastAsia"/>
          <w:bCs/>
          <w:color w:val="000000"/>
          <w:sz w:val="32"/>
          <w:szCs w:val="30"/>
        </w:rPr>
        <w:t>(如有)。实际控制人应当披露至最终的国有控股主体或者自然人为止。</w:t>
      </w:r>
    </w:p>
    <w:p w:rsidR="00DA5501" w:rsidRDefault="007C17D1">
      <w:pPr>
        <w:adjustRightInd w:val="0"/>
        <w:snapToGrid w:val="0"/>
        <w:spacing w:line="560" w:lineRule="exact"/>
        <w:ind w:firstLineChars="200" w:firstLine="640"/>
        <w:rPr>
          <w:rFonts w:ascii="仿宋" w:eastAsia="仿宋" w:hAnsi="仿宋" w:cs="Times New Roman"/>
          <w:bCs/>
          <w:color w:val="000000"/>
          <w:sz w:val="32"/>
          <w:szCs w:val="30"/>
        </w:rPr>
      </w:pPr>
      <w:r>
        <w:rPr>
          <w:rFonts w:ascii="仿宋" w:eastAsia="仿宋" w:hAnsi="仿宋" w:cs="Times New Roman" w:hint="eastAsia"/>
          <w:bCs/>
          <w:color w:val="000000"/>
          <w:sz w:val="32"/>
          <w:szCs w:val="30"/>
        </w:rPr>
        <w:t>若发行人控股股东或者实际控制人为自然人，应当披露姓名、简要背景以及所持有的发行人股份是否存在被质押或者其他权利限制的情况，是否存在控制权变更风险，同时披露该自然人对其他企业的主要投资情况以及与其他主要股东的关系。</w:t>
      </w:r>
    </w:p>
    <w:p w:rsidR="00DA5501" w:rsidRDefault="007C17D1">
      <w:pPr>
        <w:adjustRightInd w:val="0"/>
        <w:snapToGrid w:val="0"/>
        <w:spacing w:line="560" w:lineRule="exact"/>
        <w:ind w:firstLineChars="200" w:firstLine="640"/>
        <w:rPr>
          <w:rFonts w:ascii="仿宋" w:eastAsia="仿宋" w:hAnsi="仿宋" w:cs="Times New Roman"/>
          <w:bCs/>
          <w:color w:val="000000"/>
          <w:sz w:val="32"/>
          <w:szCs w:val="30"/>
        </w:rPr>
      </w:pPr>
      <w:r>
        <w:rPr>
          <w:rFonts w:ascii="仿宋" w:eastAsia="仿宋" w:hAnsi="仿宋" w:cs="Times New Roman" w:hint="eastAsia"/>
          <w:bCs/>
          <w:color w:val="000000"/>
          <w:sz w:val="32"/>
          <w:szCs w:val="30"/>
        </w:rPr>
        <w:t>若发行人控股股东或者实际控制人为法人，应当披露该法人的名称、成立日期、注册资本、主要业务、资产规模以及所持有的发行人股份是否存在被质押或者其他权利限制的情况，是否存在控制权变更风险。</w:t>
      </w:r>
    </w:p>
    <w:p w:rsidR="00DA5501" w:rsidRDefault="007C17D1">
      <w:pPr>
        <w:adjustRightInd w:val="0"/>
        <w:snapToGrid w:val="0"/>
        <w:spacing w:line="560" w:lineRule="exact"/>
        <w:ind w:firstLineChars="200" w:firstLine="640"/>
        <w:rPr>
          <w:rFonts w:ascii="仿宋" w:eastAsia="仿宋" w:hAnsi="仿宋" w:cs="Times New Roman"/>
          <w:bCs/>
          <w:color w:val="000000"/>
          <w:sz w:val="32"/>
          <w:szCs w:val="30"/>
        </w:rPr>
      </w:pPr>
      <w:r>
        <w:rPr>
          <w:rFonts w:ascii="仿宋" w:eastAsia="仿宋" w:hAnsi="仿宋" w:cs="Times New Roman" w:hint="eastAsia"/>
          <w:bCs/>
          <w:color w:val="000000"/>
          <w:sz w:val="32"/>
          <w:szCs w:val="30"/>
        </w:rPr>
        <w:t>无控股股东或者实际控制人的</w:t>
      </w:r>
      <w:r w:rsidR="00D95DE9">
        <w:rPr>
          <w:rFonts w:ascii="仿宋" w:eastAsia="仿宋" w:hAnsi="仿宋" w:cs="Times New Roman" w:hint="eastAsia"/>
          <w:bCs/>
          <w:color w:val="000000"/>
          <w:sz w:val="32"/>
          <w:szCs w:val="30"/>
        </w:rPr>
        <w:t>，</w:t>
      </w:r>
      <w:r>
        <w:rPr>
          <w:rFonts w:ascii="仿宋" w:eastAsia="仿宋" w:hAnsi="仿宋" w:cs="Times New Roman" w:hint="eastAsia"/>
          <w:bCs/>
          <w:color w:val="000000"/>
          <w:sz w:val="32"/>
          <w:szCs w:val="30"/>
        </w:rPr>
        <w:t>应当说明原因。</w:t>
      </w:r>
    </w:p>
    <w:p w:rsidR="00DA5501" w:rsidRPr="003E67DF" w:rsidRDefault="007C17D1" w:rsidP="003E67DF">
      <w:pPr>
        <w:widowControl/>
        <w:adjustRightInd w:val="0"/>
        <w:snapToGrid w:val="0"/>
        <w:spacing w:line="560" w:lineRule="exact"/>
        <w:ind w:firstLineChars="200" w:firstLine="643"/>
        <w:rPr>
          <w:rFonts w:ascii="仿宋" w:eastAsia="仿宋" w:hAnsi="仿宋" w:cs="Times New Roman"/>
          <w:bCs/>
          <w:color w:val="000000"/>
          <w:sz w:val="32"/>
          <w:szCs w:val="30"/>
        </w:rPr>
      </w:pPr>
      <w:r>
        <w:rPr>
          <w:rFonts w:ascii="仿宋" w:eastAsia="仿宋" w:hAnsi="仿宋" w:cs="Times New Roman" w:hint="eastAsia"/>
          <w:b/>
          <w:bCs/>
          <w:color w:val="000000"/>
          <w:sz w:val="32"/>
          <w:szCs w:val="30"/>
        </w:rPr>
        <w:lastRenderedPageBreak/>
        <w:t xml:space="preserve">第四十二条 </w:t>
      </w:r>
      <w:r w:rsidRPr="003E67DF">
        <w:rPr>
          <w:rFonts w:ascii="仿宋" w:eastAsia="仿宋" w:hAnsi="仿宋" w:cs="Times New Roman" w:hint="eastAsia"/>
          <w:bCs/>
          <w:color w:val="000000"/>
          <w:sz w:val="32"/>
          <w:szCs w:val="30"/>
        </w:rPr>
        <w:t>发行人应当披露对其他企业的重要权益投资情况，包括主要子公司以及其他有重要影响的参股公司、合营企业和联营企业等。</w:t>
      </w:r>
    </w:p>
    <w:p w:rsidR="00DA5501" w:rsidRPr="003E67DF" w:rsidRDefault="007C17D1" w:rsidP="003E67DF">
      <w:pPr>
        <w:widowControl/>
        <w:adjustRightInd w:val="0"/>
        <w:snapToGrid w:val="0"/>
        <w:spacing w:line="560" w:lineRule="exact"/>
        <w:ind w:firstLineChars="200" w:firstLine="640"/>
        <w:rPr>
          <w:rFonts w:ascii="仿宋" w:eastAsia="仿宋" w:hAnsi="仿宋" w:cs="Times New Roman"/>
          <w:bCs/>
          <w:color w:val="000000"/>
          <w:sz w:val="32"/>
          <w:szCs w:val="30"/>
        </w:rPr>
      </w:pPr>
      <w:r w:rsidRPr="003E67DF">
        <w:rPr>
          <w:rFonts w:ascii="仿宋" w:eastAsia="仿宋" w:hAnsi="仿宋" w:cs="Times New Roman" w:hint="eastAsia"/>
          <w:bCs/>
          <w:color w:val="000000"/>
          <w:sz w:val="32"/>
          <w:szCs w:val="30"/>
        </w:rPr>
        <w:t>发行人应当披露</w:t>
      </w:r>
      <w:r>
        <w:rPr>
          <w:rFonts w:ascii="仿宋" w:eastAsia="仿宋" w:hAnsi="仿宋" w:cs="Times New Roman" w:hint="eastAsia"/>
          <w:bCs/>
          <w:color w:val="000000"/>
          <w:sz w:val="32"/>
          <w:szCs w:val="30"/>
        </w:rPr>
        <w:t>前款规定</w:t>
      </w:r>
      <w:r w:rsidRPr="003E67DF">
        <w:rPr>
          <w:rFonts w:ascii="仿宋" w:eastAsia="仿宋" w:hAnsi="仿宋" w:cs="Times New Roman" w:hint="eastAsia"/>
          <w:bCs/>
          <w:color w:val="000000"/>
          <w:sz w:val="32"/>
          <w:szCs w:val="30"/>
        </w:rPr>
        <w:t>企业的基本情况、主营业务、近一年的主要财务数据（包括资产、负债、所有者权益、收入、净利润等）及其重大增减变动的情况</w:t>
      </w:r>
      <w:r w:rsidR="00D95DE9">
        <w:rPr>
          <w:rFonts w:ascii="仿宋" w:eastAsia="仿宋" w:hAnsi="仿宋" w:cs="Times New Roman" w:hint="eastAsia"/>
          <w:bCs/>
          <w:color w:val="000000"/>
          <w:sz w:val="32"/>
          <w:szCs w:val="30"/>
        </w:rPr>
        <w:t>和</w:t>
      </w:r>
      <w:r w:rsidRPr="003E67DF">
        <w:rPr>
          <w:rFonts w:ascii="仿宋" w:eastAsia="仿宋" w:hAnsi="仿宋" w:cs="Times New Roman" w:hint="eastAsia"/>
          <w:bCs/>
          <w:color w:val="000000"/>
          <w:sz w:val="32"/>
          <w:szCs w:val="30"/>
        </w:rPr>
        <w:t>原因。</w:t>
      </w:r>
    </w:p>
    <w:p w:rsidR="00DA5501" w:rsidRPr="003E67DF" w:rsidRDefault="007C17D1" w:rsidP="000E6A62">
      <w:pPr>
        <w:adjustRightInd w:val="0"/>
        <w:snapToGrid w:val="0"/>
        <w:spacing w:line="560" w:lineRule="exact"/>
        <w:ind w:firstLineChars="200" w:firstLine="640"/>
        <w:rPr>
          <w:rFonts w:ascii="仿宋" w:eastAsia="仿宋" w:hAnsi="仿宋" w:cs="Times New Roman"/>
          <w:bCs/>
          <w:color w:val="000000"/>
          <w:sz w:val="32"/>
          <w:szCs w:val="30"/>
        </w:rPr>
      </w:pPr>
      <w:r w:rsidRPr="003E67DF">
        <w:rPr>
          <w:rFonts w:ascii="仿宋" w:eastAsia="仿宋" w:hAnsi="仿宋" w:cs="Times New Roman" w:hint="eastAsia"/>
          <w:bCs/>
          <w:color w:val="000000"/>
          <w:sz w:val="32"/>
          <w:szCs w:val="30"/>
        </w:rPr>
        <w:t>对于</w:t>
      </w:r>
      <w:r>
        <w:rPr>
          <w:rFonts w:ascii="仿宋" w:eastAsia="仿宋" w:hAnsi="仿宋" w:cs="Times New Roman" w:hint="eastAsia"/>
          <w:bCs/>
          <w:color w:val="000000"/>
          <w:sz w:val="32"/>
          <w:szCs w:val="30"/>
        </w:rPr>
        <w:t>发行人持股比例未达</w:t>
      </w:r>
      <w:r w:rsidR="00BA160E">
        <w:rPr>
          <w:rFonts w:ascii="仿宋" w:eastAsia="仿宋" w:hAnsi="仿宋" w:cs="Times New Roman" w:hint="eastAsia"/>
          <w:bCs/>
          <w:color w:val="000000"/>
          <w:sz w:val="32"/>
          <w:szCs w:val="30"/>
        </w:rPr>
        <w:t>百分之五十</w:t>
      </w:r>
      <w:r>
        <w:rPr>
          <w:rFonts w:ascii="仿宋" w:eastAsia="仿宋" w:hAnsi="仿宋" w:cs="Times New Roman" w:hint="eastAsia"/>
          <w:bCs/>
          <w:color w:val="000000"/>
          <w:sz w:val="32"/>
          <w:szCs w:val="30"/>
        </w:rPr>
        <w:t>但纳入合并报表范围的公司以及</w:t>
      </w:r>
      <w:r w:rsidRPr="003E67DF">
        <w:rPr>
          <w:rFonts w:ascii="仿宋" w:eastAsia="仿宋" w:hAnsi="仿宋" w:cs="Times New Roman" w:hint="eastAsia"/>
          <w:bCs/>
          <w:color w:val="000000"/>
          <w:sz w:val="32"/>
          <w:szCs w:val="30"/>
        </w:rPr>
        <w:t>持股比例大于</w:t>
      </w:r>
      <w:r w:rsidR="00BA160E">
        <w:rPr>
          <w:rFonts w:ascii="仿宋" w:eastAsia="仿宋" w:hAnsi="仿宋" w:cs="Times New Roman" w:hint="eastAsia"/>
          <w:bCs/>
          <w:color w:val="000000"/>
          <w:sz w:val="32"/>
          <w:szCs w:val="30"/>
        </w:rPr>
        <w:t>百分之五十</w:t>
      </w:r>
      <w:r w:rsidRPr="003E67DF">
        <w:rPr>
          <w:rFonts w:ascii="仿宋" w:eastAsia="仿宋" w:hAnsi="仿宋" w:cs="Times New Roman"/>
          <w:bCs/>
          <w:color w:val="000000"/>
          <w:sz w:val="32"/>
          <w:szCs w:val="30"/>
        </w:rPr>
        <w:t>但未纳入合并</w:t>
      </w:r>
      <w:r w:rsidR="00CD1F61">
        <w:rPr>
          <w:rFonts w:ascii="仿宋" w:eastAsia="仿宋" w:hAnsi="仿宋" w:cs="Times New Roman" w:hint="eastAsia"/>
          <w:bCs/>
          <w:color w:val="000000"/>
          <w:sz w:val="32"/>
          <w:szCs w:val="30"/>
        </w:rPr>
        <w:t>报表</w:t>
      </w:r>
      <w:r w:rsidRPr="003E67DF">
        <w:rPr>
          <w:rFonts w:ascii="仿宋" w:eastAsia="仿宋" w:hAnsi="仿宋" w:cs="Times New Roman"/>
          <w:bCs/>
          <w:color w:val="000000"/>
          <w:sz w:val="32"/>
          <w:szCs w:val="30"/>
        </w:rPr>
        <w:t>范围的公司，发行人应当</w:t>
      </w:r>
      <w:r>
        <w:rPr>
          <w:rFonts w:ascii="仿宋" w:eastAsia="仿宋" w:hAnsi="仿宋" w:cs="Times New Roman" w:hint="eastAsia"/>
          <w:bCs/>
          <w:color w:val="000000"/>
          <w:sz w:val="32"/>
          <w:szCs w:val="30"/>
        </w:rPr>
        <w:t>充分</w:t>
      </w:r>
      <w:r w:rsidRPr="003E67DF">
        <w:rPr>
          <w:rFonts w:ascii="仿宋" w:eastAsia="仿宋" w:hAnsi="仿宋" w:cs="Times New Roman" w:hint="eastAsia"/>
          <w:bCs/>
          <w:color w:val="000000"/>
          <w:sz w:val="32"/>
          <w:szCs w:val="30"/>
        </w:rPr>
        <w:t>披露原因。</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bCs/>
          <w:color w:val="000000"/>
          <w:sz w:val="32"/>
          <w:szCs w:val="30"/>
        </w:rPr>
        <w:t xml:space="preserve">第四十三条 </w:t>
      </w:r>
      <w:r>
        <w:rPr>
          <w:rFonts w:ascii="仿宋" w:eastAsia="仿宋" w:hAnsi="仿宋" w:cs="Times New Roman" w:hint="eastAsia"/>
          <w:color w:val="000000"/>
          <w:sz w:val="32"/>
          <w:szCs w:val="30"/>
        </w:rPr>
        <w:t>发行人应当简要披露治理结构、组织机构设置</w:t>
      </w:r>
      <w:r w:rsidR="00DA5138">
        <w:rPr>
          <w:rFonts w:ascii="仿宋" w:eastAsia="仿宋" w:hAnsi="仿宋" w:cs="Times New Roman" w:hint="eastAsia"/>
          <w:color w:val="000000"/>
          <w:sz w:val="32"/>
          <w:szCs w:val="30"/>
        </w:rPr>
        <w:t>和</w:t>
      </w:r>
      <w:r>
        <w:rPr>
          <w:rFonts w:ascii="仿宋" w:eastAsia="仿宋" w:hAnsi="仿宋" w:cs="Times New Roman" w:hint="eastAsia"/>
          <w:color w:val="000000"/>
          <w:sz w:val="32"/>
          <w:szCs w:val="30"/>
        </w:rPr>
        <w:t>运行情况，</w:t>
      </w:r>
      <w:r w:rsidR="00DA5138">
        <w:rPr>
          <w:rFonts w:ascii="仿宋" w:eastAsia="仿宋" w:hAnsi="仿宋" w:cs="Times New Roman" w:hint="eastAsia"/>
          <w:color w:val="000000"/>
          <w:sz w:val="32"/>
          <w:szCs w:val="30"/>
        </w:rPr>
        <w:t>以及</w:t>
      </w:r>
      <w:r>
        <w:rPr>
          <w:rFonts w:ascii="仿宋" w:eastAsia="仿宋" w:hAnsi="仿宋" w:cs="Times New Roman" w:hint="eastAsia"/>
          <w:color w:val="000000"/>
          <w:sz w:val="32"/>
          <w:szCs w:val="30"/>
        </w:rPr>
        <w:t>财务管理、关联交易、信息披露等内部管理制度的建立</w:t>
      </w:r>
      <w:r w:rsidR="00DA5138">
        <w:rPr>
          <w:rFonts w:ascii="仿宋" w:eastAsia="仿宋" w:hAnsi="仿宋" w:cs="Times New Roman" w:hint="eastAsia"/>
          <w:color w:val="000000"/>
          <w:sz w:val="32"/>
          <w:szCs w:val="30"/>
        </w:rPr>
        <w:t>和</w:t>
      </w:r>
      <w:r>
        <w:rPr>
          <w:rFonts w:ascii="仿宋" w:eastAsia="仿宋" w:hAnsi="仿宋" w:cs="Times New Roman" w:hint="eastAsia"/>
          <w:color w:val="000000"/>
          <w:sz w:val="32"/>
          <w:szCs w:val="30"/>
        </w:rPr>
        <w:t>运行情况。发行人应当披露与控股股东、实际控制人之间在资产、人员、机构、财务、业务经营等方面的相互独立情况。</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bCs/>
          <w:color w:val="000000"/>
          <w:sz w:val="32"/>
          <w:szCs w:val="30"/>
        </w:rPr>
        <w:t xml:space="preserve">第四十四条 </w:t>
      </w:r>
      <w:r>
        <w:rPr>
          <w:rFonts w:ascii="仿宋" w:eastAsia="仿宋" w:hAnsi="仿宋" w:cs="Times New Roman" w:hint="eastAsia"/>
          <w:color w:val="000000"/>
          <w:sz w:val="32"/>
          <w:szCs w:val="30"/>
        </w:rPr>
        <w:t>发行人应当列表披露现任董事、监事、高级管理人员的基本情况，包括但不限于姓名、现任职务</w:t>
      </w:r>
      <w:r w:rsidR="00CD1F61">
        <w:rPr>
          <w:rFonts w:ascii="仿宋" w:eastAsia="仿宋" w:hAnsi="仿宋" w:cs="Times New Roman" w:hint="eastAsia"/>
          <w:color w:val="000000"/>
          <w:sz w:val="32"/>
          <w:szCs w:val="30"/>
        </w:rPr>
        <w:t>和</w:t>
      </w:r>
      <w:r>
        <w:rPr>
          <w:rFonts w:ascii="仿宋" w:eastAsia="仿宋" w:hAnsi="仿宋" w:cs="Times New Roman" w:hint="eastAsia"/>
          <w:color w:val="000000"/>
          <w:sz w:val="32"/>
          <w:szCs w:val="30"/>
        </w:rPr>
        <w:t>任期（如有），并对董事、监事、高级管理人员设置是否符合《公司法》等法律法规以及公司章程进行说明。</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发行人董事、监事、高级管理人员涉嫌重大违纪违法的，发行人应当充分说明并披露相关事项。</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bCs/>
          <w:color w:val="000000"/>
          <w:sz w:val="32"/>
          <w:szCs w:val="30"/>
        </w:rPr>
        <w:t xml:space="preserve">第四十五条 </w:t>
      </w:r>
      <w:r>
        <w:rPr>
          <w:rFonts w:ascii="仿宋" w:eastAsia="仿宋" w:hAnsi="仿宋" w:cs="Times New Roman" w:hint="eastAsia"/>
          <w:color w:val="000000"/>
          <w:sz w:val="32"/>
          <w:szCs w:val="30"/>
        </w:rPr>
        <w:t>发行人应当披露最近一年</w:t>
      </w:r>
      <w:r>
        <w:rPr>
          <w:rFonts w:ascii="仿宋" w:eastAsia="仿宋" w:hAnsi="仿宋" w:cs="Times New Roman"/>
          <w:color w:val="000000"/>
          <w:sz w:val="32"/>
          <w:szCs w:val="30"/>
        </w:rPr>
        <w:t>或</w:t>
      </w:r>
      <w:r>
        <w:rPr>
          <w:rFonts w:ascii="仿宋" w:eastAsia="仿宋" w:hAnsi="仿宋" w:cs="Times New Roman" w:hint="eastAsia"/>
          <w:color w:val="000000"/>
          <w:sz w:val="32"/>
          <w:szCs w:val="30"/>
        </w:rPr>
        <w:t>者最近一期主营业务收入或者毛利润占比</w:t>
      </w:r>
      <w:r w:rsidR="00BC031E">
        <w:rPr>
          <w:rFonts w:ascii="仿宋" w:eastAsia="仿宋" w:hAnsi="仿宋" w:cs="Times New Roman" w:hint="eastAsia"/>
          <w:color w:val="000000"/>
          <w:sz w:val="32"/>
          <w:szCs w:val="30"/>
        </w:rPr>
        <w:t>百分之十以上</w:t>
      </w:r>
      <w:r>
        <w:rPr>
          <w:rFonts w:ascii="仿宋" w:eastAsia="仿宋" w:hAnsi="仿宋" w:cs="Times New Roman" w:hint="eastAsia"/>
          <w:color w:val="000000"/>
          <w:sz w:val="32"/>
          <w:szCs w:val="30"/>
        </w:rPr>
        <w:t>的业务板块运营情况，包括</w:t>
      </w:r>
      <w:r>
        <w:rPr>
          <w:rFonts w:ascii="仿宋" w:eastAsia="仿宋" w:hAnsi="仿宋" w:cs="Times New Roman" w:hint="eastAsia"/>
          <w:color w:val="000000"/>
          <w:sz w:val="32"/>
          <w:szCs w:val="30"/>
        </w:rPr>
        <w:lastRenderedPageBreak/>
        <w:t>但不限于报告期各期营业收入、毛利润</w:t>
      </w:r>
      <w:r w:rsidR="00D95DE9">
        <w:rPr>
          <w:rFonts w:ascii="仿宋" w:eastAsia="仿宋" w:hAnsi="仿宋" w:cs="Times New Roman" w:hint="eastAsia"/>
          <w:color w:val="000000"/>
          <w:sz w:val="32"/>
          <w:szCs w:val="30"/>
        </w:rPr>
        <w:t>、</w:t>
      </w:r>
      <w:r>
        <w:rPr>
          <w:rFonts w:ascii="仿宋" w:eastAsia="仿宋" w:hAnsi="仿宋" w:cs="Times New Roman" w:hint="eastAsia"/>
          <w:color w:val="000000"/>
          <w:sz w:val="32"/>
          <w:szCs w:val="30"/>
        </w:rPr>
        <w:t>毛利率情况，</w:t>
      </w:r>
      <w:r w:rsidR="00D95DE9">
        <w:rPr>
          <w:rFonts w:ascii="仿宋" w:eastAsia="仿宋" w:hAnsi="仿宋" w:cs="Times New Roman" w:hint="eastAsia"/>
          <w:color w:val="000000"/>
          <w:sz w:val="32"/>
          <w:szCs w:val="30"/>
        </w:rPr>
        <w:t>以及</w:t>
      </w:r>
      <w:r>
        <w:rPr>
          <w:rFonts w:ascii="仿宋" w:eastAsia="仿宋" w:hAnsi="仿宋" w:cs="Times New Roman" w:hint="eastAsia"/>
          <w:color w:val="000000"/>
          <w:sz w:val="32"/>
          <w:szCs w:val="30"/>
        </w:rPr>
        <w:t>经营模式、各主要产品或者服务内容</w:t>
      </w:r>
      <w:r w:rsidR="00D95DE9">
        <w:rPr>
          <w:rFonts w:ascii="仿宋" w:eastAsia="仿宋" w:hAnsi="仿宋" w:cs="Times New Roman" w:hint="eastAsia"/>
          <w:color w:val="000000"/>
          <w:sz w:val="32"/>
          <w:szCs w:val="30"/>
        </w:rPr>
        <w:t>和</w:t>
      </w:r>
      <w:r>
        <w:rPr>
          <w:rFonts w:ascii="仿宋" w:eastAsia="仿宋" w:hAnsi="仿宋" w:cs="Times New Roman" w:hint="eastAsia"/>
          <w:color w:val="000000"/>
          <w:sz w:val="32"/>
          <w:szCs w:val="30"/>
        </w:rPr>
        <w:t>规模、上下游产业链情况、产销区域、关键技术工艺，并说明相关数据来源。</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bCs/>
          <w:color w:val="000000"/>
          <w:sz w:val="32"/>
          <w:szCs w:val="30"/>
        </w:rPr>
        <w:t xml:space="preserve">第四十六条 </w:t>
      </w:r>
      <w:r>
        <w:rPr>
          <w:rFonts w:ascii="仿宋" w:eastAsia="仿宋" w:hAnsi="仿宋" w:cs="Times New Roman" w:hint="eastAsia"/>
          <w:color w:val="000000"/>
          <w:sz w:val="32"/>
          <w:szCs w:val="30"/>
        </w:rPr>
        <w:t>发行人应当披露所在行业状况、行业地位、面临的主要竞争状况、经营方针和战略以及</w:t>
      </w:r>
      <w:r w:rsidR="00D95DE9">
        <w:rPr>
          <w:rFonts w:ascii="仿宋" w:eastAsia="仿宋" w:hAnsi="仿宋" w:cs="Times New Roman" w:hint="eastAsia"/>
          <w:color w:val="000000"/>
          <w:sz w:val="32"/>
          <w:szCs w:val="30"/>
        </w:rPr>
        <w:t>可以</w:t>
      </w:r>
      <w:r>
        <w:rPr>
          <w:rFonts w:ascii="仿宋" w:eastAsia="仿宋" w:hAnsi="仿宋" w:cs="Times New Roman" w:hint="eastAsia"/>
          <w:color w:val="000000"/>
          <w:sz w:val="32"/>
          <w:szCs w:val="30"/>
        </w:rPr>
        <w:t>说明其行业地位和经营优势的行业关键指标数据，并说明相关数据来源。</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bCs/>
          <w:color w:val="000000"/>
          <w:sz w:val="32"/>
          <w:szCs w:val="30"/>
        </w:rPr>
        <w:t xml:space="preserve">第四十七条 </w:t>
      </w:r>
      <w:r>
        <w:rPr>
          <w:rFonts w:ascii="仿宋" w:eastAsia="仿宋" w:hAnsi="仿宋" w:cs="Times New Roman" w:hint="eastAsia"/>
          <w:color w:val="000000"/>
          <w:sz w:val="32"/>
          <w:szCs w:val="30"/>
        </w:rPr>
        <w:t>发行人应当披露重大资产重组情况，包括但不限于交易内容、交易时间、交易对手方</w:t>
      </w:r>
      <w:r w:rsidR="00D95DE9">
        <w:rPr>
          <w:rFonts w:ascii="仿宋" w:eastAsia="仿宋" w:hAnsi="仿宋" w:cs="Times New Roman" w:hint="eastAsia"/>
          <w:color w:val="000000"/>
          <w:sz w:val="32"/>
          <w:szCs w:val="30"/>
        </w:rPr>
        <w:t>，以及</w:t>
      </w:r>
      <w:r>
        <w:rPr>
          <w:rFonts w:ascii="仿宋" w:eastAsia="仿宋" w:hAnsi="仿宋" w:cs="Times New Roman" w:hint="eastAsia"/>
          <w:color w:val="000000"/>
          <w:sz w:val="32"/>
          <w:szCs w:val="30"/>
        </w:rPr>
        <w:t>重大资产重组对发行人经营状况、财务情况和偿债能力的影响。重大资产重组涉及资产评估事项的，还应当简要披露资产评估情况。</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bCs/>
          <w:color w:val="000000"/>
          <w:sz w:val="32"/>
          <w:szCs w:val="30"/>
        </w:rPr>
        <w:t xml:space="preserve">第四十八条 </w:t>
      </w:r>
      <w:r>
        <w:rPr>
          <w:rFonts w:ascii="仿宋" w:eastAsia="仿宋" w:hAnsi="仿宋" w:cs="Times New Roman" w:hint="eastAsia"/>
          <w:color w:val="000000"/>
          <w:sz w:val="32"/>
          <w:szCs w:val="30"/>
        </w:rPr>
        <w:t>拟实施重大资产重组的发行人申请公开发行公司债券的，发行人应当结合已公布或者明确的重大资产重组方案，在募集说明书中披露该重组事项对发行人生产经营、偿债能力的影响</w:t>
      </w:r>
      <w:r w:rsidR="00374A1D" w:rsidRPr="00374A1D">
        <w:rPr>
          <w:rFonts w:ascii="仿宋" w:eastAsia="仿宋" w:hAnsi="仿宋" w:cs="Times New Roman" w:hint="eastAsia"/>
          <w:color w:val="000000"/>
          <w:sz w:val="32"/>
          <w:szCs w:val="30"/>
        </w:rPr>
        <w:t>，并由主承销商和证券服务机构出具核查意见</w:t>
      </w:r>
      <w:r w:rsidR="00374A1D">
        <w:rPr>
          <w:rFonts w:ascii="仿宋" w:eastAsia="仿宋" w:hAnsi="仿宋" w:cs="Times New Roman" w:hint="eastAsia"/>
          <w:color w:val="000000"/>
          <w:sz w:val="32"/>
          <w:szCs w:val="30"/>
        </w:rPr>
        <w:t>。</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上市公司或者</w:t>
      </w:r>
      <w:r w:rsidR="00D95DE9">
        <w:rPr>
          <w:rFonts w:ascii="仿宋" w:eastAsia="仿宋" w:hAnsi="仿宋" w:cs="Times New Roman" w:hint="eastAsia"/>
          <w:color w:val="000000"/>
          <w:sz w:val="32"/>
          <w:szCs w:val="30"/>
        </w:rPr>
        <w:t>全国</w:t>
      </w:r>
      <w:r>
        <w:rPr>
          <w:rFonts w:ascii="仿宋" w:eastAsia="仿宋" w:hAnsi="仿宋" w:cs="Times New Roman" w:hint="eastAsia"/>
          <w:color w:val="000000"/>
          <w:sz w:val="32"/>
          <w:szCs w:val="30"/>
        </w:rPr>
        <w:t>股转系统挂牌公司因重大资产重组停牌的，应当在公告重组方案并复牌后，按照前款规定进行披露。</w:t>
      </w:r>
    </w:p>
    <w:p w:rsidR="00DA5501" w:rsidRDefault="007C17D1" w:rsidP="00374A1D">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bCs/>
          <w:color w:val="000000"/>
          <w:sz w:val="32"/>
          <w:szCs w:val="30"/>
        </w:rPr>
        <w:t xml:space="preserve">第四十九条 </w:t>
      </w:r>
      <w:r>
        <w:rPr>
          <w:rFonts w:ascii="仿宋" w:eastAsia="仿宋" w:hAnsi="仿宋" w:cs="Times New Roman" w:hint="eastAsia"/>
          <w:color w:val="000000"/>
          <w:sz w:val="32"/>
          <w:szCs w:val="30"/>
        </w:rPr>
        <w:t>报告期内存在被媒体质疑的重大事项的，发行人应当主动说明</w:t>
      </w:r>
      <w:r w:rsidR="00374A1D">
        <w:rPr>
          <w:rFonts w:ascii="仿宋" w:eastAsia="仿宋" w:hAnsi="仿宋" w:cs="Times New Roman" w:hint="eastAsia"/>
          <w:color w:val="000000"/>
          <w:sz w:val="32"/>
          <w:szCs w:val="30"/>
        </w:rPr>
        <w:t>并</w:t>
      </w:r>
      <w:r>
        <w:rPr>
          <w:rFonts w:ascii="仿宋" w:eastAsia="仿宋" w:hAnsi="仿宋" w:cs="Times New Roman" w:hint="eastAsia"/>
          <w:color w:val="000000"/>
          <w:sz w:val="32"/>
          <w:szCs w:val="30"/>
        </w:rPr>
        <w:t>在募集说明书中披露相关情况。</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第五十条</w:t>
      </w:r>
      <w:r>
        <w:rPr>
          <w:rFonts w:ascii="仿宋" w:eastAsia="仿宋" w:hAnsi="仿宋" w:cs="Times New Roman" w:hint="eastAsia"/>
          <w:color w:val="000000"/>
          <w:sz w:val="32"/>
          <w:szCs w:val="30"/>
        </w:rPr>
        <w:t xml:space="preserve"> 发行人应当按照以下要求披露财务会计信息：</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（一）发行人报告期内发生会计政策</w:t>
      </w:r>
      <w:r>
        <w:rPr>
          <w:rFonts w:ascii="仿宋" w:eastAsia="仿宋" w:hAnsi="仿宋" w:cs="Times New Roman"/>
          <w:color w:val="000000"/>
          <w:sz w:val="32"/>
          <w:szCs w:val="30"/>
        </w:rPr>
        <w:t>/</w:t>
      </w:r>
      <w:r>
        <w:rPr>
          <w:rFonts w:ascii="仿宋" w:eastAsia="仿宋" w:hAnsi="仿宋" w:cs="Times New Roman" w:hint="eastAsia"/>
          <w:color w:val="000000"/>
          <w:sz w:val="32"/>
          <w:szCs w:val="30"/>
        </w:rPr>
        <w:t>会计估计变更且对财务状况或者经营成果产生重大影响的，发行人应当披露会计政策</w:t>
      </w:r>
      <w:r>
        <w:rPr>
          <w:rFonts w:ascii="仿宋" w:eastAsia="仿宋" w:hAnsi="仿宋" w:cs="Times New Roman"/>
          <w:color w:val="000000"/>
          <w:sz w:val="32"/>
          <w:szCs w:val="30"/>
        </w:rPr>
        <w:t>/</w:t>
      </w:r>
      <w:r>
        <w:rPr>
          <w:rFonts w:ascii="仿宋" w:eastAsia="仿宋" w:hAnsi="仿宋" w:cs="Times New Roman" w:hint="eastAsia"/>
          <w:color w:val="000000"/>
          <w:sz w:val="32"/>
          <w:szCs w:val="30"/>
        </w:rPr>
        <w:t>会计估计变更的时间、对财务状况</w:t>
      </w:r>
      <w:r>
        <w:rPr>
          <w:rFonts w:ascii="仿宋" w:eastAsia="仿宋" w:hAnsi="仿宋" w:cs="Times New Roman"/>
          <w:color w:val="000000"/>
          <w:sz w:val="32"/>
          <w:szCs w:val="30"/>
        </w:rPr>
        <w:t>/</w:t>
      </w:r>
      <w:r>
        <w:rPr>
          <w:rFonts w:ascii="仿宋" w:eastAsia="仿宋" w:hAnsi="仿宋" w:cs="Times New Roman" w:hint="eastAsia"/>
          <w:color w:val="000000"/>
          <w:sz w:val="32"/>
          <w:szCs w:val="30"/>
        </w:rPr>
        <w:t>经营成果的影响以及相关账</w:t>
      </w:r>
      <w:r>
        <w:rPr>
          <w:rFonts w:ascii="仿宋" w:eastAsia="仿宋" w:hAnsi="仿宋" w:cs="Times New Roman" w:hint="eastAsia"/>
          <w:color w:val="000000"/>
          <w:sz w:val="32"/>
          <w:szCs w:val="30"/>
        </w:rPr>
        <w:lastRenderedPageBreak/>
        <w:t>务处理是否符合《企业会计准则》或者国家相关会计制度的规定。主承销商和申报会计师应当对此进行核查并发表</w:t>
      </w:r>
      <w:r w:rsidR="00F02857">
        <w:rPr>
          <w:rFonts w:ascii="仿宋" w:eastAsia="仿宋" w:hAnsi="仿宋" w:cs="Times New Roman" w:hint="eastAsia"/>
          <w:color w:val="000000"/>
          <w:sz w:val="32"/>
          <w:szCs w:val="30"/>
        </w:rPr>
        <w:t>明确</w:t>
      </w:r>
      <w:r>
        <w:rPr>
          <w:rFonts w:ascii="仿宋" w:eastAsia="仿宋" w:hAnsi="仿宋" w:cs="Times New Roman" w:hint="eastAsia"/>
          <w:color w:val="000000"/>
          <w:sz w:val="32"/>
          <w:szCs w:val="30"/>
        </w:rPr>
        <w:t>意见。</w:t>
      </w:r>
    </w:p>
    <w:p w:rsidR="00DA5501"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Pr>
          <w:rFonts w:ascii="仿宋" w:eastAsia="仿宋" w:hAnsi="仿宋" w:cs="Times New Roman" w:hint="eastAsia"/>
          <w:color w:val="000000"/>
          <w:sz w:val="32"/>
          <w:szCs w:val="30"/>
        </w:rPr>
        <w:t>（二）发行人报告期内更换会计师事务所的，应当说明更换会计师事务所的理由，变更前后会计政策和会计估计是否存在重大变化。发行人报告期内两次更换会计师事务所的，还应当对报告期内采取的会计政策、会计估计以及重大会计事项处理是否审慎进行说明。主承销商和申报会计师应当进行核查并发表明确意见。</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三）审计报告为带强调事项段无保留意见或者保留意见的，发行人应当披露董事会或者有权机构关于带强调事项段或者保留意见段所涉及事项处理情况的说明以及会计师事务所、注册会计师对于带强调事项段或者保留意见段所涉及事项的补充意见，并分析相关事项对偿债能力的影响。主承销商和申报会计师应当对保留意见所涉及事项以及保留意见所涉及事项的影响是否已经消除进行核查并发表</w:t>
      </w:r>
      <w:r w:rsidR="00F02857">
        <w:rPr>
          <w:rFonts w:ascii="仿宋" w:eastAsia="仿宋" w:hAnsi="仿宋" w:cs="Times New Roman" w:hint="eastAsia"/>
          <w:color w:val="000000"/>
          <w:sz w:val="32"/>
          <w:szCs w:val="30"/>
        </w:rPr>
        <w:t>明确</w:t>
      </w:r>
      <w:r>
        <w:rPr>
          <w:rFonts w:ascii="仿宋" w:eastAsia="仿宋" w:hAnsi="仿宋" w:cs="Times New Roman" w:hint="eastAsia"/>
          <w:color w:val="000000"/>
          <w:sz w:val="32"/>
          <w:szCs w:val="30"/>
        </w:rPr>
        <w:t>意见。</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（四）报告期内发行人合并报表范围发生变化的，应当披露合并报表范围的具体变化情况、变化原因及其影响。</w:t>
      </w:r>
    </w:p>
    <w:p w:rsidR="00DA5501" w:rsidRDefault="007C17D1">
      <w:pPr>
        <w:spacing w:line="560" w:lineRule="exact"/>
        <w:ind w:firstLineChars="200" w:firstLine="643"/>
        <w:rPr>
          <w:rFonts w:ascii="仿宋_GB2312" w:eastAsia="仿宋_GB2312" w:hAnsi="仿宋_GB2312"/>
          <w:sz w:val="32"/>
          <w:szCs w:val="32"/>
        </w:rPr>
      </w:pPr>
      <w:r>
        <w:rPr>
          <w:rFonts w:ascii="仿宋" w:eastAsia="仿宋" w:hAnsi="仿宋" w:cs="Times New Roman" w:hint="eastAsia"/>
          <w:b/>
          <w:color w:val="000000"/>
          <w:sz w:val="32"/>
          <w:szCs w:val="30"/>
        </w:rPr>
        <w:t>第五十一条</w:t>
      </w:r>
      <w:r>
        <w:rPr>
          <w:rFonts w:ascii="仿宋" w:eastAsia="仿宋" w:hAnsi="仿宋" w:cs="Times New Roman" w:hint="eastAsia"/>
          <w:color w:val="000000"/>
          <w:sz w:val="32"/>
          <w:szCs w:val="30"/>
        </w:rPr>
        <w:t xml:space="preserve"> </w:t>
      </w:r>
      <w:r>
        <w:rPr>
          <w:rFonts w:ascii="仿宋_GB2312" w:eastAsia="仿宋_GB2312" w:hAnsi="仿宋_GB2312" w:hint="eastAsia"/>
          <w:sz w:val="32"/>
          <w:szCs w:val="32"/>
        </w:rPr>
        <w:t>最近三年内发生重大资产重组的发行人，应当披露重组前一年的备考财务报表</w:t>
      </w:r>
      <w:r w:rsidR="00F17805">
        <w:rPr>
          <w:rFonts w:ascii="仿宋_GB2312" w:eastAsia="仿宋_GB2312" w:hAnsi="仿宋_GB2312" w:hint="eastAsia"/>
          <w:sz w:val="32"/>
          <w:szCs w:val="32"/>
        </w:rPr>
        <w:t>及其</w:t>
      </w:r>
      <w:r>
        <w:rPr>
          <w:rFonts w:ascii="仿宋_GB2312" w:eastAsia="仿宋_GB2312" w:hAnsi="仿宋_GB2312" w:hint="eastAsia"/>
          <w:sz w:val="32"/>
          <w:szCs w:val="32"/>
        </w:rPr>
        <w:t>编制基础，并于募集说明书中明确相关财务数据</w:t>
      </w:r>
      <w:r w:rsidR="00F17805">
        <w:rPr>
          <w:rFonts w:ascii="仿宋_GB2312" w:eastAsia="仿宋_GB2312" w:hAnsi="仿宋_GB2312" w:hint="eastAsia"/>
          <w:sz w:val="32"/>
          <w:szCs w:val="32"/>
        </w:rPr>
        <w:t>和</w:t>
      </w:r>
      <w:r>
        <w:rPr>
          <w:rFonts w:ascii="仿宋_GB2312" w:eastAsia="仿宋_GB2312" w:hAnsi="仿宋_GB2312" w:hint="eastAsia"/>
          <w:sz w:val="32"/>
          <w:szCs w:val="32"/>
        </w:rPr>
        <w:t>分析的数据来源。</w:t>
      </w:r>
    </w:p>
    <w:p w:rsidR="00DA5501" w:rsidRDefault="007C17D1">
      <w:pPr>
        <w:widowControl/>
        <w:spacing w:line="56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 xml:space="preserve">第五十二条 </w:t>
      </w:r>
      <w:r>
        <w:rPr>
          <w:rFonts w:ascii="仿宋_GB2312" w:eastAsia="仿宋_GB2312" w:hAnsi="仿宋_GB2312" w:hint="eastAsia"/>
          <w:sz w:val="32"/>
          <w:szCs w:val="32"/>
        </w:rPr>
        <w:t>发行人应当披露最近三年</w:t>
      </w:r>
      <w:r w:rsidR="00D95DE9">
        <w:rPr>
          <w:rFonts w:ascii="仿宋_GB2312" w:eastAsia="仿宋_GB2312" w:hAnsi="仿宋_GB2312" w:hint="eastAsia"/>
          <w:sz w:val="32"/>
          <w:szCs w:val="32"/>
        </w:rPr>
        <w:t>和</w:t>
      </w:r>
      <w:r>
        <w:rPr>
          <w:rFonts w:ascii="仿宋_GB2312" w:eastAsia="仿宋_GB2312" w:hAnsi="仿宋_GB2312" w:hint="eastAsia"/>
          <w:sz w:val="32"/>
          <w:szCs w:val="32"/>
        </w:rPr>
        <w:t>近一期财务会计信息</w:t>
      </w:r>
      <w:r w:rsidR="00F17805">
        <w:rPr>
          <w:rFonts w:ascii="仿宋_GB2312" w:eastAsia="仿宋_GB2312" w:hAnsi="仿宋_GB2312" w:hint="eastAsia"/>
          <w:sz w:val="32"/>
          <w:szCs w:val="32"/>
        </w:rPr>
        <w:t>和</w:t>
      </w:r>
      <w:r>
        <w:rPr>
          <w:rFonts w:ascii="仿宋_GB2312" w:eastAsia="仿宋_GB2312" w:hAnsi="仿宋_GB2312" w:hint="eastAsia"/>
          <w:sz w:val="32"/>
          <w:szCs w:val="32"/>
        </w:rPr>
        <w:t>主要财务指标。财务会计信息包括但不限于资产负债表、利</w:t>
      </w:r>
      <w:r>
        <w:rPr>
          <w:rFonts w:ascii="仿宋_GB2312" w:eastAsia="仿宋_GB2312" w:hAnsi="仿宋_GB2312" w:hint="eastAsia"/>
          <w:sz w:val="32"/>
          <w:szCs w:val="32"/>
        </w:rPr>
        <w:lastRenderedPageBreak/>
        <w:t>润表</w:t>
      </w:r>
      <w:r w:rsidR="00D95DE9">
        <w:rPr>
          <w:rFonts w:ascii="仿宋_GB2312" w:eastAsia="仿宋_GB2312" w:hAnsi="仿宋_GB2312" w:hint="eastAsia"/>
          <w:sz w:val="32"/>
          <w:szCs w:val="32"/>
        </w:rPr>
        <w:t>和</w:t>
      </w:r>
      <w:r>
        <w:rPr>
          <w:rFonts w:ascii="仿宋_GB2312" w:eastAsia="仿宋_GB2312" w:hAnsi="仿宋_GB2312" w:hint="eastAsia"/>
          <w:sz w:val="32"/>
          <w:szCs w:val="32"/>
        </w:rPr>
        <w:t>现金流量表；发行人编制合并财务报表的，应当同时披露合并财务报表和母公司财务报表。财务指标包括但不限于偿债能力指标、盈利能力指标、运营效率指标。发行人</w:t>
      </w:r>
      <w:r w:rsidR="00962A34">
        <w:rPr>
          <w:rFonts w:ascii="仿宋_GB2312" w:eastAsia="仿宋_GB2312" w:hAnsi="仿宋_GB2312" w:hint="eastAsia"/>
          <w:sz w:val="32"/>
          <w:szCs w:val="32"/>
        </w:rPr>
        <w:t>应当</w:t>
      </w:r>
      <w:r>
        <w:rPr>
          <w:rFonts w:ascii="仿宋_GB2312" w:eastAsia="仿宋_GB2312" w:hAnsi="仿宋_GB2312" w:hint="eastAsia"/>
          <w:sz w:val="32"/>
          <w:szCs w:val="32"/>
        </w:rPr>
        <w:t>对可能影响投资者理解公司财务状况、经营业绩和现金流量情况等信息加以说明。</w:t>
      </w:r>
    </w:p>
    <w:p w:rsidR="00DA5501" w:rsidRDefault="007C17D1">
      <w:pPr>
        <w:spacing w:line="560" w:lineRule="exact"/>
        <w:ind w:firstLineChars="200" w:firstLine="640"/>
        <w:rPr>
          <w:rFonts w:ascii="仿宋_GB2312" w:eastAsia="仿宋_GB2312" w:hAnsi="仿宋_GB2312"/>
          <w:kern w:val="0"/>
          <w:sz w:val="32"/>
        </w:rPr>
      </w:pPr>
      <w:r>
        <w:rPr>
          <w:rFonts w:ascii="仿宋_GB2312" w:eastAsia="仿宋_GB2312" w:hAnsi="仿宋_GB2312"/>
          <w:sz w:val="32"/>
          <w:szCs w:val="32"/>
        </w:rPr>
        <w:t>面向普通投资者公开发行的</w:t>
      </w:r>
      <w:r w:rsidR="00374A1D">
        <w:rPr>
          <w:rFonts w:ascii="仿宋_GB2312" w:eastAsia="仿宋_GB2312" w:hAnsi="仿宋_GB2312" w:hint="eastAsia"/>
          <w:sz w:val="32"/>
          <w:szCs w:val="32"/>
        </w:rPr>
        <w:t>公司债券</w:t>
      </w:r>
      <w:r>
        <w:rPr>
          <w:rFonts w:ascii="仿宋_GB2312" w:eastAsia="仿宋_GB2312" w:hAnsi="仿宋_GB2312"/>
          <w:sz w:val="32"/>
          <w:szCs w:val="32"/>
        </w:rPr>
        <w:t>，</w:t>
      </w:r>
      <w:r>
        <w:rPr>
          <w:rFonts w:ascii="仿宋_GB2312" w:eastAsia="仿宋_GB2312" w:hAnsi="仿宋_GB2312" w:hint="eastAsia"/>
          <w:sz w:val="32"/>
          <w:szCs w:val="32"/>
        </w:rPr>
        <w:t>募集说明书</w:t>
      </w:r>
      <w:r>
        <w:rPr>
          <w:rFonts w:ascii="仿宋_GB2312" w:eastAsia="仿宋_GB2312" w:hAnsi="仿宋_GB2312"/>
          <w:sz w:val="32"/>
          <w:szCs w:val="32"/>
        </w:rPr>
        <w:t>应当</w:t>
      </w:r>
      <w:r w:rsidR="0098788C">
        <w:rPr>
          <w:rFonts w:ascii="仿宋_GB2312" w:eastAsia="仿宋_GB2312" w:hAnsi="仿宋_GB2312" w:hint="eastAsia"/>
          <w:sz w:val="32"/>
          <w:szCs w:val="32"/>
        </w:rPr>
        <w:t>按照《信息披露管理办法》</w:t>
      </w:r>
      <w:r>
        <w:rPr>
          <w:rFonts w:ascii="仿宋_GB2312" w:eastAsia="仿宋_GB2312" w:hAnsi="仿宋_GB2312"/>
          <w:sz w:val="32"/>
          <w:szCs w:val="32"/>
        </w:rPr>
        <w:t>采用数据列表方式</w:t>
      </w:r>
      <w:r>
        <w:rPr>
          <w:rFonts w:ascii="仿宋_GB2312" w:eastAsia="仿宋_GB2312" w:hAnsi="仿宋_GB2312" w:hint="eastAsia"/>
          <w:sz w:val="32"/>
          <w:szCs w:val="32"/>
        </w:rPr>
        <w:t>披露</w:t>
      </w:r>
      <w:r>
        <w:rPr>
          <w:rFonts w:ascii="仿宋_GB2312" w:eastAsia="仿宋_GB2312" w:hAnsi="仿宋_GB2312"/>
          <w:sz w:val="32"/>
          <w:szCs w:val="32"/>
        </w:rPr>
        <w:t>截至报告期末</w:t>
      </w:r>
      <w:r>
        <w:rPr>
          <w:rFonts w:ascii="仿宋_GB2312" w:eastAsia="仿宋_GB2312" w:hAnsi="仿宋_GB2312" w:hint="eastAsia"/>
          <w:sz w:val="32"/>
          <w:szCs w:val="32"/>
        </w:rPr>
        <w:t>发行人</w:t>
      </w:r>
      <w:r>
        <w:rPr>
          <w:rFonts w:ascii="仿宋_GB2312" w:eastAsia="仿宋_GB2312" w:hAnsi="仿宋_GB2312"/>
          <w:sz w:val="32"/>
          <w:szCs w:val="32"/>
        </w:rPr>
        <w:t>近两年的主要会计数据和财务指标，包括但不限于扣除非经常性损益后净利润、EBITDA全部债务比、利息保障倍数、现金利息保障倍数、EBITDA利息保障倍数、贷款偿还率、利息偿付率。</w:t>
      </w:r>
    </w:p>
    <w:p w:rsidR="00DA5501" w:rsidRDefault="007C17D1">
      <w:pPr>
        <w:widowControl/>
        <w:spacing w:line="560" w:lineRule="exact"/>
        <w:ind w:firstLineChars="200" w:firstLine="643"/>
        <w:rPr>
          <w:rFonts w:ascii="仿宋" w:eastAsia="仿宋" w:hAnsi="仿宋" w:cs="Times New Roman"/>
          <w:color w:val="000000"/>
          <w:sz w:val="32"/>
          <w:szCs w:val="30"/>
        </w:rPr>
      </w:pPr>
      <w:r>
        <w:rPr>
          <w:rFonts w:ascii="仿宋_GB2312" w:eastAsia="仿宋_GB2312" w:hAnsi="仿宋_GB2312" w:hint="eastAsia"/>
          <w:b/>
          <w:bCs/>
          <w:sz w:val="32"/>
          <w:szCs w:val="32"/>
        </w:rPr>
        <w:t xml:space="preserve">第五十三条 </w:t>
      </w:r>
      <w:r>
        <w:rPr>
          <w:rFonts w:ascii="仿宋_GB2312" w:eastAsia="仿宋_GB2312" w:hAnsi="仿宋_GB2312" w:hint="eastAsia"/>
          <w:sz w:val="32"/>
          <w:szCs w:val="32"/>
        </w:rPr>
        <w:t>发行人应当对最近一年</w:t>
      </w:r>
      <w:r w:rsidR="00D95DE9">
        <w:rPr>
          <w:rFonts w:ascii="仿宋_GB2312" w:eastAsia="仿宋_GB2312" w:hAnsi="仿宋_GB2312" w:hint="eastAsia"/>
          <w:sz w:val="32"/>
          <w:szCs w:val="32"/>
        </w:rPr>
        <w:t>和近</w:t>
      </w:r>
      <w:r>
        <w:rPr>
          <w:rFonts w:ascii="仿宋_GB2312" w:eastAsia="仿宋_GB2312" w:hAnsi="仿宋_GB2312" w:hint="eastAsia"/>
          <w:sz w:val="32"/>
          <w:szCs w:val="32"/>
        </w:rPr>
        <w:t>一期占总资产百分之十以上的资产类报表项目、占总负债百分之十以上的负债类报表项目以及变化幅度在百分之三十以上的报表项目，分析变动情况</w:t>
      </w:r>
      <w:r w:rsidR="00D95DE9">
        <w:rPr>
          <w:rFonts w:ascii="仿宋_GB2312" w:eastAsia="仿宋_GB2312" w:hAnsi="仿宋_GB2312" w:hint="eastAsia"/>
          <w:sz w:val="32"/>
          <w:szCs w:val="32"/>
        </w:rPr>
        <w:t>和</w:t>
      </w:r>
      <w:r>
        <w:rPr>
          <w:rFonts w:ascii="仿宋_GB2312" w:eastAsia="仿宋_GB2312" w:hAnsi="仿宋_GB2312" w:hint="eastAsia"/>
          <w:sz w:val="32"/>
          <w:szCs w:val="32"/>
        </w:rPr>
        <w:t>变动原因。</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第五十四条</w:t>
      </w:r>
      <w:r>
        <w:rPr>
          <w:rFonts w:ascii="仿宋" w:eastAsia="仿宋" w:hAnsi="仿宋" w:cs="Times New Roman" w:hint="eastAsia"/>
          <w:color w:val="000000"/>
          <w:sz w:val="32"/>
          <w:szCs w:val="30"/>
        </w:rPr>
        <w:t xml:space="preserve"> 发行人应当采用列表形式披露最近一期末有息债务情况，包括有息债务总余额、债务类型</w:t>
      </w:r>
      <w:r w:rsidR="00D95DE9">
        <w:rPr>
          <w:rFonts w:ascii="仿宋" w:eastAsia="仿宋" w:hAnsi="仿宋" w:cs="Times New Roman" w:hint="eastAsia"/>
          <w:color w:val="000000"/>
          <w:sz w:val="32"/>
          <w:szCs w:val="30"/>
        </w:rPr>
        <w:t>和</w:t>
      </w:r>
      <w:r>
        <w:rPr>
          <w:rFonts w:ascii="仿宋" w:eastAsia="仿宋" w:hAnsi="仿宋" w:cs="Times New Roman" w:hint="eastAsia"/>
          <w:color w:val="000000"/>
          <w:sz w:val="32"/>
          <w:szCs w:val="30"/>
        </w:rPr>
        <w:t>期限结构、信用融资</w:t>
      </w:r>
      <w:r w:rsidR="00D95DE9">
        <w:rPr>
          <w:rFonts w:ascii="仿宋" w:eastAsia="仿宋" w:hAnsi="仿宋" w:cs="Times New Roman" w:hint="eastAsia"/>
          <w:color w:val="000000"/>
          <w:sz w:val="32"/>
          <w:szCs w:val="30"/>
        </w:rPr>
        <w:t>和</w:t>
      </w:r>
      <w:r>
        <w:rPr>
          <w:rFonts w:ascii="仿宋" w:eastAsia="仿宋" w:hAnsi="仿宋" w:cs="Times New Roman" w:hint="eastAsia"/>
          <w:color w:val="000000"/>
          <w:sz w:val="32"/>
          <w:szCs w:val="30"/>
        </w:rPr>
        <w:t>担保融资的结构等情况。相关数据与财务报表存在差异的，应当披露差异原因。发行人应当根据有息债务具体情况，说明是否存在集中还本付息的情况以及对本次发行的影响。</w:t>
      </w:r>
    </w:p>
    <w:p w:rsidR="00DA5501" w:rsidRDefault="007C17D1">
      <w:pPr>
        <w:adjustRightInd w:val="0"/>
        <w:snapToGrid w:val="0"/>
        <w:spacing w:line="560" w:lineRule="exact"/>
        <w:ind w:firstLineChars="200" w:firstLine="643"/>
        <w:rPr>
          <w:rFonts w:ascii="仿宋_GB2312" w:eastAsia="仿宋_GB2312" w:hAnsi="仿宋_GB2312"/>
          <w:sz w:val="32"/>
          <w:szCs w:val="32"/>
        </w:rPr>
      </w:pPr>
      <w:r>
        <w:rPr>
          <w:rFonts w:ascii="仿宋_GB2312" w:eastAsia="仿宋_GB2312" w:hAnsi="仿宋_GB2312" w:hint="eastAsia"/>
          <w:b/>
          <w:sz w:val="32"/>
          <w:szCs w:val="32"/>
        </w:rPr>
        <w:t xml:space="preserve">第五十五条 </w:t>
      </w:r>
      <w:r>
        <w:rPr>
          <w:rFonts w:ascii="仿宋_GB2312" w:eastAsia="仿宋_GB2312" w:hAnsi="仿宋_GB2312" w:hint="eastAsia"/>
          <w:sz w:val="32"/>
          <w:szCs w:val="32"/>
        </w:rPr>
        <w:t>发行人应当根据《公司法》和《企业会计准则》等规定披露关联方、关联关系以及关联交易情况，包括与关联方的产品销售、原材料采购、劳务提供、资产租赁、应收应付款项、</w:t>
      </w:r>
      <w:r>
        <w:rPr>
          <w:rFonts w:ascii="仿宋_GB2312" w:eastAsia="仿宋_GB2312" w:hAnsi="仿宋_GB2312" w:hint="eastAsia"/>
          <w:sz w:val="32"/>
          <w:szCs w:val="32"/>
        </w:rPr>
        <w:lastRenderedPageBreak/>
        <w:t>融资、担保等交易情况和金额。上市公司、全国股转系统挂牌公司另有规定的，从其规定。</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第五十六条</w:t>
      </w:r>
      <w:r>
        <w:rPr>
          <w:rFonts w:ascii="仿宋" w:eastAsia="仿宋" w:hAnsi="仿宋" w:cs="Times New Roman" w:hint="eastAsia"/>
          <w:color w:val="000000"/>
          <w:sz w:val="32"/>
          <w:szCs w:val="30"/>
        </w:rPr>
        <w:t xml:space="preserve"> 发行人应当披露截至最近一期末的其他重大事项，包括但不限于：对外担保余额及其占总资产</w:t>
      </w:r>
      <w:r w:rsidR="00962A34">
        <w:rPr>
          <w:rFonts w:ascii="仿宋" w:eastAsia="仿宋" w:hAnsi="仿宋" w:cs="Times New Roman" w:hint="eastAsia"/>
          <w:color w:val="000000"/>
          <w:sz w:val="32"/>
          <w:szCs w:val="30"/>
        </w:rPr>
        <w:t>的比例</w:t>
      </w:r>
      <w:r>
        <w:rPr>
          <w:rFonts w:ascii="仿宋" w:eastAsia="仿宋" w:hAnsi="仿宋" w:cs="Times New Roman" w:hint="eastAsia"/>
          <w:color w:val="000000"/>
          <w:sz w:val="32"/>
          <w:szCs w:val="30"/>
        </w:rPr>
        <w:t>；资产存在的抵押、质押、担保和其他具有可对抗第三人的优先偿付负债情况；未决诉讼、仲裁等重大或有事项或者承诺事项，以及相关或有事项预计负债计提情况及其充分性。影响重大的，应当作</w:t>
      </w:r>
      <w:r w:rsidR="00962A34">
        <w:rPr>
          <w:rFonts w:ascii="仿宋" w:eastAsia="仿宋" w:hAnsi="仿宋" w:cs="Times New Roman" w:hint="eastAsia"/>
          <w:color w:val="000000"/>
          <w:sz w:val="32"/>
          <w:szCs w:val="30"/>
        </w:rPr>
        <w:t>“</w:t>
      </w:r>
      <w:r>
        <w:rPr>
          <w:rFonts w:ascii="仿宋" w:eastAsia="仿宋" w:hAnsi="仿宋" w:cs="Times New Roman" w:hint="eastAsia"/>
          <w:color w:val="000000"/>
          <w:sz w:val="32"/>
          <w:szCs w:val="30"/>
        </w:rPr>
        <w:t>重大事项提示</w:t>
      </w:r>
      <w:r w:rsidR="00962A34">
        <w:rPr>
          <w:rFonts w:ascii="仿宋" w:eastAsia="仿宋" w:hAnsi="仿宋" w:cs="Times New Roman" w:hint="eastAsia"/>
          <w:color w:val="000000"/>
          <w:sz w:val="32"/>
          <w:szCs w:val="30"/>
        </w:rPr>
        <w:t>”</w:t>
      </w:r>
      <w:r>
        <w:rPr>
          <w:rFonts w:ascii="仿宋" w:eastAsia="仿宋" w:hAnsi="仿宋" w:cs="Times New Roman" w:hint="eastAsia"/>
          <w:color w:val="000000"/>
          <w:sz w:val="32"/>
          <w:szCs w:val="30"/>
        </w:rPr>
        <w:t>。</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截至募集说明书签署之日，如发生其他影响偿债能力的报告期后重大事项也应当补充披露。</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第五十七条</w:t>
      </w:r>
      <w:r>
        <w:rPr>
          <w:rFonts w:ascii="仿宋" w:eastAsia="仿宋" w:hAnsi="仿宋" w:cs="Times New Roman" w:hint="eastAsia"/>
          <w:color w:val="000000"/>
          <w:sz w:val="32"/>
          <w:szCs w:val="30"/>
        </w:rPr>
        <w:t xml:space="preserve"> 发行人委托资信评级机构进行信用评级的，募集说明书应当披露资信评级机构名称、评级时间、评级结论以及标识所代表的涵义、评级报告揭示的主要风险、跟踪评级安排等。</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发行人最近三年在境内发行其他</w:t>
      </w:r>
      <w:r w:rsidR="00374A1D">
        <w:rPr>
          <w:rFonts w:ascii="仿宋" w:eastAsia="仿宋" w:hAnsi="仿宋" w:cs="Times New Roman" w:hint="eastAsia"/>
          <w:color w:val="000000"/>
          <w:sz w:val="32"/>
          <w:szCs w:val="30"/>
        </w:rPr>
        <w:t>公司信用类债券</w:t>
      </w:r>
      <w:r>
        <w:rPr>
          <w:rFonts w:ascii="仿宋" w:eastAsia="仿宋" w:hAnsi="仿宋" w:cs="Times New Roman" w:hint="eastAsia"/>
          <w:color w:val="000000"/>
          <w:sz w:val="32"/>
          <w:szCs w:val="30"/>
        </w:rPr>
        <w:t>委托进行资信评级且最近一次主体评级结果（含主体跟踪评级结果）与本次评级结果存在差异的，应当在募集说明书中充分披露差异原因；评级机构应当结合评级标准、评级方法、重要评级参数选取情况等因素说明</w:t>
      </w:r>
      <w:r w:rsidR="001231AC">
        <w:rPr>
          <w:rFonts w:ascii="仿宋" w:eastAsia="仿宋" w:hAnsi="仿宋" w:cs="Times New Roman" w:hint="eastAsia"/>
          <w:color w:val="000000"/>
          <w:sz w:val="32"/>
          <w:szCs w:val="30"/>
        </w:rPr>
        <w:t>作</w:t>
      </w:r>
      <w:r>
        <w:rPr>
          <w:rFonts w:ascii="仿宋" w:eastAsia="仿宋" w:hAnsi="仿宋" w:cs="Times New Roman" w:hint="eastAsia"/>
          <w:color w:val="000000"/>
          <w:sz w:val="32"/>
          <w:szCs w:val="30"/>
        </w:rPr>
        <w:t>出相应评级的理由以及相关评级参数选取的合理性和审慎性，并在募集说明书中充分披露。主承销商应当关注发行人资信评级差异情况，进行必要核查并出具核查意见。</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第五十八条</w:t>
      </w:r>
      <w:r>
        <w:rPr>
          <w:rFonts w:ascii="仿宋" w:eastAsia="仿宋" w:hAnsi="仿宋" w:cs="Times New Roman" w:hint="eastAsia"/>
          <w:color w:val="000000"/>
          <w:sz w:val="32"/>
          <w:szCs w:val="30"/>
        </w:rPr>
        <w:t xml:space="preserve"> 发行人应当披露截至最近一期末合并报表范围内获得的主要贷款银行等金融机构的授信</w:t>
      </w:r>
      <w:r w:rsidR="00DA5138">
        <w:rPr>
          <w:rFonts w:ascii="仿宋" w:eastAsia="仿宋" w:hAnsi="仿宋" w:cs="Times New Roman" w:hint="eastAsia"/>
          <w:color w:val="000000"/>
          <w:sz w:val="32"/>
          <w:szCs w:val="30"/>
        </w:rPr>
        <w:t>和</w:t>
      </w:r>
      <w:r>
        <w:rPr>
          <w:rFonts w:ascii="仿宋" w:eastAsia="仿宋" w:hAnsi="仿宋" w:cs="Times New Roman" w:hint="eastAsia"/>
          <w:color w:val="000000"/>
          <w:sz w:val="32"/>
          <w:szCs w:val="30"/>
        </w:rPr>
        <w:t>使用情况</w:t>
      </w:r>
      <w:r w:rsidR="00DA5138">
        <w:rPr>
          <w:rFonts w:ascii="仿宋" w:eastAsia="仿宋" w:hAnsi="仿宋" w:cs="Times New Roman" w:hint="eastAsia"/>
          <w:color w:val="000000"/>
          <w:sz w:val="32"/>
          <w:szCs w:val="30"/>
        </w:rPr>
        <w:t>、</w:t>
      </w:r>
      <w:r>
        <w:rPr>
          <w:rFonts w:ascii="仿宋" w:eastAsia="仿宋" w:hAnsi="仿宋" w:cs="Times New Roman" w:hint="eastAsia"/>
          <w:color w:val="000000"/>
          <w:sz w:val="32"/>
          <w:szCs w:val="30"/>
        </w:rPr>
        <w:t>报告期内</w:t>
      </w:r>
      <w:r>
        <w:rPr>
          <w:rFonts w:ascii="仿宋" w:eastAsia="仿宋" w:hAnsi="仿宋" w:cs="Times New Roman" w:hint="eastAsia"/>
          <w:color w:val="000000"/>
          <w:sz w:val="32"/>
          <w:szCs w:val="30"/>
        </w:rPr>
        <w:lastRenderedPageBreak/>
        <w:t>境内外债券偿还情况</w:t>
      </w:r>
      <w:r w:rsidR="00DA5138">
        <w:rPr>
          <w:rFonts w:ascii="仿宋" w:eastAsia="仿宋" w:hAnsi="仿宋" w:cs="Times New Roman" w:hint="eastAsia"/>
          <w:color w:val="000000"/>
          <w:sz w:val="32"/>
          <w:szCs w:val="30"/>
        </w:rPr>
        <w:t>、</w:t>
      </w:r>
      <w:r>
        <w:rPr>
          <w:rFonts w:ascii="仿宋" w:eastAsia="仿宋" w:hAnsi="仿宋" w:cs="Times New Roman" w:hint="eastAsia"/>
          <w:color w:val="000000"/>
          <w:sz w:val="32"/>
          <w:szCs w:val="30"/>
        </w:rPr>
        <w:t>截至报告期末境内外债券存续情况</w:t>
      </w:r>
      <w:r w:rsidR="00DA5138">
        <w:rPr>
          <w:rFonts w:ascii="仿宋" w:eastAsia="仿宋" w:hAnsi="仿宋" w:cs="Times New Roman" w:hint="eastAsia"/>
          <w:color w:val="000000"/>
          <w:sz w:val="32"/>
          <w:szCs w:val="30"/>
        </w:rPr>
        <w:t>、</w:t>
      </w:r>
      <w:r>
        <w:rPr>
          <w:rFonts w:ascii="仿宋" w:eastAsia="仿宋" w:hAnsi="仿宋" w:cs="Times New Roman" w:hint="eastAsia"/>
          <w:color w:val="000000"/>
          <w:sz w:val="32"/>
          <w:szCs w:val="30"/>
        </w:rPr>
        <w:t>尚未发行的各债券品种额度，以及自身和重要子公司因严重违法、失信行为被列为失信被执行人、失信生产经营单位或者其它失信单位情况（如有）。</w:t>
      </w:r>
    </w:p>
    <w:p w:rsidR="00DA5501" w:rsidRDefault="007C17D1" w:rsidP="00212B03">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bCs/>
          <w:color w:val="000000"/>
          <w:sz w:val="32"/>
          <w:szCs w:val="30"/>
        </w:rPr>
        <w:t>第</w:t>
      </w:r>
      <w:r w:rsidR="00212B03">
        <w:rPr>
          <w:rFonts w:ascii="仿宋" w:eastAsia="仿宋" w:hAnsi="仿宋" w:cs="Times New Roman" w:hint="eastAsia"/>
          <w:b/>
          <w:bCs/>
          <w:color w:val="000000"/>
          <w:sz w:val="32"/>
          <w:szCs w:val="30"/>
        </w:rPr>
        <w:t xml:space="preserve">五十九条 </w:t>
      </w:r>
      <w:r w:rsidR="00212B03" w:rsidRPr="00166E29">
        <w:rPr>
          <w:rFonts w:ascii="仿宋" w:eastAsia="仿宋" w:hAnsi="仿宋" w:cs="Times New Roman" w:hint="eastAsia"/>
          <w:bCs/>
          <w:color w:val="000000"/>
          <w:sz w:val="32"/>
          <w:szCs w:val="30"/>
        </w:rPr>
        <w:t>本次</w:t>
      </w:r>
      <w:r>
        <w:rPr>
          <w:rFonts w:ascii="仿宋" w:eastAsia="仿宋" w:hAnsi="仿宋" w:cs="Times New Roman" w:hint="eastAsia"/>
          <w:color w:val="000000"/>
          <w:sz w:val="32"/>
          <w:szCs w:val="30"/>
        </w:rPr>
        <w:t xml:space="preserve">债券存在保证担保的，发行人应当披露债券担保合同或者担保函的主要内容，包括但不限于： </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 xml:space="preserve">（一）担保金额； </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 xml:space="preserve">（二）担保期限； </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 xml:space="preserve">（三）担保方式； </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 xml:space="preserve">（四）担保范围； </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 xml:space="preserve">（五）发行人、保证人、发行人与保证人之间的权利义务关系； </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（六）发行人不能偿还公司债券本息时，债券持有人实现债权的方式，包括保证人代为偿付的期间、具体方式、争议解决机制等;</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 xml:space="preserve">（七）反担保和共同担保的情况（如有）； </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 xml:space="preserve">（八）各方认为需要约定的其他事项。 </w:t>
      </w:r>
    </w:p>
    <w:p w:rsidR="00212B03" w:rsidRDefault="00212B03" w:rsidP="00212B03">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 xml:space="preserve">第六十条 </w:t>
      </w:r>
      <w:r w:rsidRPr="00166E29">
        <w:rPr>
          <w:rFonts w:ascii="仿宋" w:eastAsia="仿宋" w:hAnsi="仿宋" w:cs="Times New Roman" w:hint="eastAsia"/>
          <w:color w:val="000000"/>
          <w:sz w:val="32"/>
          <w:szCs w:val="30"/>
        </w:rPr>
        <w:t>本次</w:t>
      </w:r>
      <w:r>
        <w:rPr>
          <w:rFonts w:ascii="仿宋" w:eastAsia="仿宋" w:hAnsi="仿宋" w:cs="Times New Roman" w:hint="eastAsia"/>
          <w:color w:val="000000"/>
          <w:sz w:val="32"/>
          <w:szCs w:val="30"/>
        </w:rPr>
        <w:t xml:space="preserve">债券由法人或者其他组织提供保证担保的，应当披露保证人的基本情况，包括但不限于下列事项： </w:t>
      </w:r>
    </w:p>
    <w:p w:rsidR="00212B03" w:rsidRDefault="00212B03" w:rsidP="00212B03">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（一）企业基本情况</w:t>
      </w:r>
      <w:r w:rsidR="001231AC">
        <w:rPr>
          <w:rFonts w:ascii="仿宋" w:eastAsia="仿宋" w:hAnsi="仿宋" w:cs="Times New Roman" w:hint="eastAsia"/>
          <w:color w:val="000000"/>
          <w:sz w:val="32"/>
          <w:szCs w:val="30"/>
        </w:rPr>
        <w:t>和</w:t>
      </w:r>
      <w:r>
        <w:rPr>
          <w:rFonts w:ascii="仿宋" w:eastAsia="仿宋" w:hAnsi="仿宋" w:cs="Times New Roman" w:hint="eastAsia"/>
          <w:color w:val="000000"/>
          <w:sz w:val="32"/>
          <w:szCs w:val="30"/>
        </w:rPr>
        <w:t xml:space="preserve">业务情况； </w:t>
      </w:r>
    </w:p>
    <w:p w:rsidR="00212B03" w:rsidRDefault="00212B03" w:rsidP="00212B03">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 xml:space="preserve">（二）企业至少最近一年主要财务情况（并注明相关财务报告是否经审计）； </w:t>
      </w:r>
    </w:p>
    <w:p w:rsidR="00212B03" w:rsidRDefault="00212B03" w:rsidP="00212B03">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lastRenderedPageBreak/>
        <w:t xml:space="preserve">（三）信用状况； </w:t>
      </w:r>
    </w:p>
    <w:p w:rsidR="00212B03" w:rsidRDefault="00212B03" w:rsidP="00212B03">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 xml:space="preserve">（四）最近一期末累计对外担保余额； </w:t>
      </w:r>
    </w:p>
    <w:p w:rsidR="00212B03" w:rsidRDefault="00212B03" w:rsidP="00212B03">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 xml:space="preserve">（五）最近一期末累计担保余额占其净资产的比例。 </w:t>
      </w:r>
    </w:p>
    <w:p w:rsidR="00212B03" w:rsidRDefault="00212B03" w:rsidP="00212B03">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保证人为发行人控股股东或者实际控制人的，发行人应当披露保证人所拥有的除发行人股权外的其他主要资产，以及该部分资产的权利限制、是否存在后续权利限制安排。</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bCs/>
          <w:color w:val="000000"/>
          <w:sz w:val="32"/>
          <w:szCs w:val="30"/>
        </w:rPr>
        <w:t>第六十一条</w:t>
      </w:r>
      <w:r w:rsidR="00212B03">
        <w:rPr>
          <w:rFonts w:ascii="仿宋" w:eastAsia="仿宋" w:hAnsi="仿宋" w:cs="Times New Roman" w:hint="eastAsia"/>
          <w:b/>
          <w:bCs/>
          <w:color w:val="000000"/>
          <w:sz w:val="32"/>
          <w:szCs w:val="30"/>
        </w:rPr>
        <w:t xml:space="preserve"> </w:t>
      </w:r>
      <w:r w:rsidR="00212B03" w:rsidRPr="00166E29">
        <w:rPr>
          <w:rFonts w:ascii="仿宋" w:eastAsia="仿宋" w:hAnsi="仿宋" w:cs="Times New Roman" w:hint="eastAsia"/>
          <w:bCs/>
          <w:color w:val="000000"/>
          <w:sz w:val="32"/>
          <w:szCs w:val="30"/>
        </w:rPr>
        <w:t>本次</w:t>
      </w:r>
      <w:r>
        <w:rPr>
          <w:rFonts w:ascii="仿宋" w:eastAsia="仿宋" w:hAnsi="仿宋" w:cs="Times New Roman" w:hint="eastAsia"/>
          <w:color w:val="000000"/>
          <w:sz w:val="32"/>
          <w:szCs w:val="30"/>
        </w:rPr>
        <w:t xml:space="preserve">债券设置抵押或者质押担保的,发行人应当披露担保物的名称、金额（账面值和评估值）、担保物金额（账面值和评估值）与所发行债券面值总额和本息总额之间的比例。 </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发行人应当披露担保物的评估、登记、保管、抵质押顺位、法律手续的办理情况、执行担保的程序和风险。</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发行人与担保人应当按照法律法规在担保合同中约定并在募集说明书中披露发行人不能偿还公司债券本息时，债券持有人实现债权的方式，包括实现债权的期间、处置担保物的具体方式、处置价款分配、争议解决机制等。</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bCs/>
          <w:color w:val="000000"/>
          <w:sz w:val="32"/>
          <w:szCs w:val="30"/>
        </w:rPr>
        <w:t>第六十二条</w:t>
      </w:r>
      <w:r w:rsidR="00212B03">
        <w:rPr>
          <w:rFonts w:ascii="仿宋" w:eastAsia="仿宋" w:hAnsi="仿宋" w:cs="Times New Roman" w:hint="eastAsia"/>
          <w:b/>
          <w:bCs/>
          <w:color w:val="000000"/>
          <w:sz w:val="32"/>
          <w:szCs w:val="30"/>
        </w:rPr>
        <w:t xml:space="preserve"> </w:t>
      </w:r>
      <w:r w:rsidR="00212B03" w:rsidRPr="00166E29">
        <w:rPr>
          <w:rFonts w:ascii="仿宋" w:eastAsia="仿宋" w:hAnsi="仿宋" w:cs="Times New Roman" w:hint="eastAsia"/>
          <w:bCs/>
          <w:color w:val="000000"/>
          <w:sz w:val="32"/>
          <w:szCs w:val="30"/>
        </w:rPr>
        <w:t>本次</w:t>
      </w:r>
      <w:r>
        <w:rPr>
          <w:rFonts w:ascii="仿宋" w:eastAsia="仿宋" w:hAnsi="仿宋" w:cs="Times New Roman" w:hint="eastAsia"/>
          <w:color w:val="000000"/>
          <w:sz w:val="32"/>
          <w:szCs w:val="30"/>
        </w:rPr>
        <w:t>债券采用境外增信的，</w:t>
      </w:r>
      <w:r w:rsidR="00BA160E">
        <w:rPr>
          <w:rFonts w:ascii="仿宋" w:eastAsia="仿宋" w:hAnsi="仿宋" w:cs="Times New Roman" w:hint="eastAsia"/>
          <w:color w:val="000000"/>
          <w:sz w:val="32"/>
          <w:szCs w:val="30"/>
        </w:rPr>
        <w:t>发行人</w:t>
      </w:r>
      <w:r>
        <w:rPr>
          <w:rFonts w:ascii="仿宋" w:eastAsia="仿宋" w:hAnsi="仿宋" w:cs="Times New Roman" w:hint="eastAsia"/>
          <w:color w:val="000000"/>
          <w:sz w:val="32"/>
          <w:szCs w:val="30"/>
        </w:rPr>
        <w:t>应当结合境外增信方式的具体安排、适用法律，充分披露需履行的境内外相关核准、批准、备案或者登记等法律程序及其进展。</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bCs/>
          <w:color w:val="000000"/>
          <w:sz w:val="32"/>
          <w:szCs w:val="30"/>
        </w:rPr>
        <w:t xml:space="preserve">第六十三条 </w:t>
      </w:r>
      <w:r>
        <w:rPr>
          <w:rFonts w:ascii="仿宋" w:eastAsia="仿宋" w:hAnsi="仿宋" w:cs="Times New Roman" w:hint="eastAsia"/>
          <w:color w:val="000000"/>
          <w:sz w:val="32"/>
          <w:szCs w:val="30"/>
        </w:rPr>
        <w:t>约定由第三方对公司债券进行收购的，发行人应当在募集说明书中披露收购承诺函或者收购协议等文件的主要内容，明确第三方收购公司债券的情形、实现方式等，并提交第三方出具的相关文件。</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lastRenderedPageBreak/>
        <w:t>约定商业保险、债务加入、差额补足、流动性支持等其他增信措施的，发行人应当与相关增信</w:t>
      </w:r>
      <w:r w:rsidR="00C0114C">
        <w:rPr>
          <w:rFonts w:ascii="仿宋" w:eastAsia="仿宋" w:hAnsi="仿宋" w:cs="Times New Roman" w:hint="eastAsia"/>
          <w:color w:val="000000"/>
          <w:sz w:val="32"/>
          <w:szCs w:val="30"/>
        </w:rPr>
        <w:t>主体</w:t>
      </w:r>
      <w:r w:rsidR="00212B03">
        <w:rPr>
          <w:rFonts w:ascii="仿宋" w:eastAsia="仿宋" w:hAnsi="仿宋" w:cs="Times New Roman" w:hint="eastAsia"/>
          <w:color w:val="000000"/>
          <w:sz w:val="32"/>
          <w:szCs w:val="30"/>
        </w:rPr>
        <w:t>依据有关</w:t>
      </w:r>
      <w:r>
        <w:rPr>
          <w:rFonts w:ascii="仿宋" w:eastAsia="仿宋" w:hAnsi="仿宋" w:cs="Times New Roman" w:hint="eastAsia"/>
          <w:color w:val="000000"/>
          <w:sz w:val="32"/>
          <w:szCs w:val="30"/>
        </w:rPr>
        <w:t>法律法规</w:t>
      </w:r>
      <w:r w:rsidR="00212B03">
        <w:rPr>
          <w:rFonts w:ascii="仿宋" w:eastAsia="仿宋" w:hAnsi="仿宋" w:cs="Times New Roman" w:hint="eastAsia"/>
          <w:color w:val="000000"/>
          <w:sz w:val="32"/>
          <w:szCs w:val="30"/>
        </w:rPr>
        <w:t>的规定</w:t>
      </w:r>
      <w:r>
        <w:rPr>
          <w:rFonts w:ascii="仿宋" w:eastAsia="仿宋" w:hAnsi="仿宋" w:cs="Times New Roman" w:hint="eastAsia"/>
          <w:color w:val="000000"/>
          <w:sz w:val="32"/>
          <w:szCs w:val="30"/>
        </w:rPr>
        <w:t>约定增信措施的触发条件、实施方式、责任承担的前置条件（如有）、责任承担方式和承担期间、信息披露安排、争议解决机制等，并在募集说明书中披露。</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第六十四条</w:t>
      </w:r>
      <w:r>
        <w:rPr>
          <w:rFonts w:ascii="仿宋" w:eastAsia="仿宋" w:hAnsi="仿宋" w:cs="Times New Roman" w:hint="eastAsia"/>
          <w:color w:val="000000"/>
          <w:sz w:val="32"/>
          <w:szCs w:val="30"/>
        </w:rPr>
        <w:t xml:space="preserve"> 发行人应当披露投资者投资债券需缴纳税种、税收政策、税收风险，并明确告知投资者所应缴纳税项是否与债券的各项支付构成抵扣。</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第六十五条</w:t>
      </w:r>
      <w:r>
        <w:rPr>
          <w:rFonts w:ascii="仿宋" w:eastAsia="仿宋" w:hAnsi="仿宋" w:cs="Times New Roman" w:hint="eastAsia"/>
          <w:color w:val="000000"/>
          <w:sz w:val="32"/>
          <w:szCs w:val="30"/>
        </w:rPr>
        <w:t xml:space="preserve"> 发行人应当披露信息披露事务管理制度。信息披露事务管理制度应当包括但不限于：</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（一）未公开信息的传递、审核、披露流程；</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（二）信息披露事务负责人在信息披露中的具体职责及其履职保障；</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（三）董事和董事会、监事和监事会、高级管理人员等的报告、审议和披露的职责；</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（四）对外发布信息的申请、审核、发布流程；</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（五）涉及子公司的信息披露事务管理和报告制度。</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第六十六条</w:t>
      </w:r>
      <w:r>
        <w:rPr>
          <w:rFonts w:ascii="仿宋" w:eastAsia="仿宋" w:hAnsi="仿宋" w:cs="Times New Roman" w:hint="eastAsia"/>
          <w:color w:val="000000"/>
          <w:sz w:val="32"/>
          <w:szCs w:val="30"/>
        </w:rPr>
        <w:t xml:space="preserve"> 发行人应当披露投资者关系管理的相关制度安排，主承销商应当对制度健全情况进行核查并发表</w:t>
      </w:r>
      <w:r w:rsidR="00F02857">
        <w:rPr>
          <w:rFonts w:ascii="仿宋" w:eastAsia="仿宋" w:hAnsi="仿宋" w:cs="Times New Roman" w:hint="eastAsia"/>
          <w:color w:val="000000"/>
          <w:sz w:val="32"/>
          <w:szCs w:val="30"/>
        </w:rPr>
        <w:t>明确</w:t>
      </w:r>
      <w:r>
        <w:rPr>
          <w:rFonts w:ascii="仿宋" w:eastAsia="仿宋" w:hAnsi="仿宋" w:cs="Times New Roman" w:hint="eastAsia"/>
          <w:color w:val="000000"/>
          <w:sz w:val="32"/>
          <w:szCs w:val="30"/>
        </w:rPr>
        <w:t>意见。</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发行人应当根据自身风险特征和风险因素，在募集说明书等文件中设置偿债资金保障、财务承诺、行为限制、调研发行人、查阅会计账簿等投资者保护条款，并明确披露相关条款的触发情</w:t>
      </w:r>
      <w:r>
        <w:rPr>
          <w:rFonts w:ascii="仿宋" w:eastAsia="仿宋" w:hAnsi="仿宋" w:cs="Times New Roman" w:hint="eastAsia"/>
          <w:color w:val="000000"/>
          <w:sz w:val="32"/>
          <w:szCs w:val="30"/>
        </w:rPr>
        <w:lastRenderedPageBreak/>
        <w:t>形、修改</w:t>
      </w:r>
      <w:r w:rsidR="001231AC">
        <w:rPr>
          <w:rFonts w:ascii="仿宋" w:eastAsia="仿宋" w:hAnsi="仿宋" w:cs="Times New Roman" w:hint="eastAsia"/>
          <w:color w:val="000000"/>
          <w:sz w:val="32"/>
          <w:szCs w:val="30"/>
        </w:rPr>
        <w:t>和</w:t>
      </w:r>
      <w:r>
        <w:rPr>
          <w:rFonts w:ascii="仿宋" w:eastAsia="仿宋" w:hAnsi="仿宋" w:cs="Times New Roman" w:hint="eastAsia"/>
          <w:color w:val="000000"/>
          <w:sz w:val="32"/>
          <w:szCs w:val="30"/>
        </w:rPr>
        <w:t>变更机制、处置机制</w:t>
      </w:r>
      <w:r w:rsidR="001231AC">
        <w:rPr>
          <w:rFonts w:ascii="仿宋" w:eastAsia="仿宋" w:hAnsi="仿宋" w:cs="Times New Roman" w:hint="eastAsia"/>
          <w:color w:val="000000"/>
          <w:sz w:val="32"/>
          <w:szCs w:val="30"/>
        </w:rPr>
        <w:t>和</w:t>
      </w:r>
      <w:r>
        <w:rPr>
          <w:rFonts w:ascii="仿宋" w:eastAsia="仿宋" w:hAnsi="仿宋" w:cs="Times New Roman" w:hint="eastAsia"/>
          <w:color w:val="000000"/>
          <w:sz w:val="32"/>
          <w:szCs w:val="30"/>
        </w:rPr>
        <w:t>生效条件。</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第六十七条</w:t>
      </w:r>
      <w:r>
        <w:rPr>
          <w:rFonts w:ascii="仿宋" w:eastAsia="仿宋" w:hAnsi="仿宋" w:cs="Times New Roman" w:hint="eastAsia"/>
          <w:color w:val="000000"/>
          <w:sz w:val="32"/>
          <w:szCs w:val="30"/>
        </w:rPr>
        <w:t xml:space="preserve"> 发行人应当披露偿债计划</w:t>
      </w:r>
      <w:r w:rsidR="001231AC">
        <w:rPr>
          <w:rFonts w:ascii="仿宋" w:eastAsia="仿宋" w:hAnsi="仿宋" w:cs="Times New Roman" w:hint="eastAsia"/>
          <w:color w:val="000000"/>
          <w:sz w:val="32"/>
          <w:szCs w:val="30"/>
        </w:rPr>
        <w:t>和</w:t>
      </w:r>
      <w:r>
        <w:rPr>
          <w:rFonts w:ascii="仿宋" w:eastAsia="仿宋" w:hAnsi="仿宋" w:cs="Times New Roman" w:hint="eastAsia"/>
          <w:color w:val="000000"/>
          <w:sz w:val="32"/>
          <w:szCs w:val="30"/>
        </w:rPr>
        <w:t>保障措施。偿债计划</w:t>
      </w:r>
      <w:r w:rsidR="001231AC">
        <w:rPr>
          <w:rFonts w:ascii="仿宋" w:eastAsia="仿宋" w:hAnsi="仿宋" w:cs="Times New Roman" w:hint="eastAsia"/>
          <w:color w:val="000000"/>
          <w:sz w:val="32"/>
          <w:szCs w:val="30"/>
        </w:rPr>
        <w:t>和</w:t>
      </w:r>
      <w:r>
        <w:rPr>
          <w:rFonts w:ascii="仿宋" w:eastAsia="仿宋" w:hAnsi="仿宋" w:cs="Times New Roman" w:hint="eastAsia"/>
          <w:color w:val="000000"/>
          <w:sz w:val="32"/>
          <w:szCs w:val="30"/>
        </w:rPr>
        <w:t>保障措施应当具有合理性和可操作性。偿债计划对未来现金流、营业收入</w:t>
      </w:r>
      <w:r w:rsidR="0021753F">
        <w:rPr>
          <w:rFonts w:ascii="仿宋" w:eastAsia="仿宋" w:hAnsi="仿宋" w:cs="Times New Roman" w:hint="eastAsia"/>
          <w:color w:val="000000"/>
          <w:sz w:val="32"/>
          <w:szCs w:val="30"/>
        </w:rPr>
        <w:t>、</w:t>
      </w:r>
      <w:r>
        <w:rPr>
          <w:rFonts w:ascii="仿宋" w:eastAsia="仿宋" w:hAnsi="仿宋" w:cs="Times New Roman" w:hint="eastAsia"/>
          <w:color w:val="000000"/>
          <w:sz w:val="32"/>
          <w:szCs w:val="30"/>
        </w:rPr>
        <w:t>营业利润等进行预测的，应当披露预测依据以及假设前提。主承销商应当对此进行核查并发表</w:t>
      </w:r>
      <w:r w:rsidR="00F02857">
        <w:rPr>
          <w:rFonts w:ascii="仿宋" w:eastAsia="仿宋" w:hAnsi="仿宋" w:cs="Times New Roman" w:hint="eastAsia"/>
          <w:color w:val="000000"/>
          <w:sz w:val="32"/>
          <w:szCs w:val="30"/>
        </w:rPr>
        <w:t>明确</w:t>
      </w:r>
      <w:r>
        <w:rPr>
          <w:rFonts w:ascii="仿宋" w:eastAsia="仿宋" w:hAnsi="仿宋" w:cs="Times New Roman" w:hint="eastAsia"/>
          <w:color w:val="000000"/>
          <w:sz w:val="32"/>
          <w:szCs w:val="30"/>
        </w:rPr>
        <w:t>意见。</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第六十八条</w:t>
      </w:r>
      <w:r>
        <w:rPr>
          <w:rFonts w:ascii="仿宋" w:eastAsia="仿宋" w:hAnsi="仿宋" w:cs="Times New Roman" w:hint="eastAsia"/>
          <w:color w:val="000000"/>
          <w:sz w:val="32"/>
          <w:szCs w:val="30"/>
        </w:rPr>
        <w:t xml:space="preserve"> 发行人应当在募集说明书中约定并披露债券违约情形、违约责任及其承担方式、预计或者发生违约时的救济机制、化解处置机制和具体化解处置措施、不可抗力等，相关内容应当同时在《债券受托管理协议》和《债券持有人会议规则》中进行约定。</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第六十九条</w:t>
      </w:r>
      <w:r>
        <w:rPr>
          <w:rFonts w:ascii="仿宋" w:eastAsia="仿宋" w:hAnsi="仿宋" w:cs="Times New Roman" w:hint="eastAsia"/>
          <w:color w:val="000000"/>
          <w:sz w:val="32"/>
          <w:szCs w:val="30"/>
        </w:rPr>
        <w:t xml:space="preserve"> 发行人应当在募集说明书中约定并披露公司债券存续期间或者违约后发生争议的协商、诉讼、仲裁等争议解决机制。募集说明书中披露的争议解决机制应当与担保函（如有）、担保合同（如有）、《债券受托管理协议》《债券持有人会议规则》等文件中的相关约定不冲突。</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 xml:space="preserve">第七十条 </w:t>
      </w:r>
      <w:r>
        <w:rPr>
          <w:rFonts w:ascii="仿宋" w:eastAsia="仿宋" w:hAnsi="仿宋" w:cs="Times New Roman" w:hint="eastAsia"/>
          <w:color w:val="000000"/>
          <w:sz w:val="32"/>
          <w:szCs w:val="30"/>
        </w:rPr>
        <w:t>《持有人会议规则》应当符合《发行与交易管理办法》等法律法规以及《上市规则》等业务规则的规定。发行人应当在募集说明书中披露债券持有人会议运行机制的主要条款。</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t>发行人应当在募集说明书中提示投资者，债券持有人会议按照中国证监会、本所规定以及《持有人会议规则》约定所形成的决议对全体债券持有人具有约束力。</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第七十一条</w:t>
      </w:r>
      <w:r>
        <w:rPr>
          <w:rFonts w:ascii="仿宋" w:eastAsia="仿宋" w:hAnsi="仿宋" w:cs="Times New Roman" w:hint="eastAsia"/>
          <w:color w:val="000000"/>
          <w:sz w:val="32"/>
          <w:szCs w:val="30"/>
        </w:rPr>
        <w:t xml:space="preserve"> 《债券受托管理协议》应当符合《发行与交易</w:t>
      </w:r>
      <w:r>
        <w:rPr>
          <w:rFonts w:ascii="仿宋" w:eastAsia="仿宋" w:hAnsi="仿宋" w:cs="Times New Roman" w:hint="eastAsia"/>
          <w:color w:val="000000"/>
          <w:sz w:val="32"/>
          <w:szCs w:val="30"/>
        </w:rPr>
        <w:lastRenderedPageBreak/>
        <w:t>管理办法》等法律法规以及《上市规则》等业务规则的规定。</w:t>
      </w:r>
    </w:p>
    <w:p w:rsidR="00DA5501" w:rsidRDefault="007C17D1">
      <w:pPr>
        <w:adjustRightInd w:val="0"/>
        <w:snapToGrid w:val="0"/>
        <w:spacing w:line="560" w:lineRule="exact"/>
        <w:ind w:firstLineChars="200" w:firstLine="640"/>
      </w:pPr>
      <w:r>
        <w:rPr>
          <w:rFonts w:ascii="仿宋" w:eastAsia="仿宋" w:hAnsi="仿宋" w:cs="Times New Roman" w:hint="eastAsia"/>
          <w:color w:val="000000"/>
          <w:sz w:val="32"/>
          <w:szCs w:val="30"/>
        </w:rPr>
        <w:t>发行人应当在募集说明书中披露《债券受托管理协议》的主要内容，包括但不限于债券受托管理人在履行受托管理职责时可能存在的利益冲突情形以及相关风险防控和解决机制。</w:t>
      </w:r>
    </w:p>
    <w:p w:rsidR="00DA5501" w:rsidRPr="003E67DF"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第七十二条</w:t>
      </w:r>
      <w:r>
        <w:rPr>
          <w:rFonts w:ascii="仿宋" w:eastAsia="仿宋" w:hAnsi="仿宋" w:cs="Times New Roman" w:hint="eastAsia"/>
          <w:color w:val="000000"/>
          <w:sz w:val="32"/>
          <w:szCs w:val="30"/>
        </w:rPr>
        <w:t xml:space="preserve"> </w:t>
      </w:r>
      <w:r w:rsidRPr="003E67DF">
        <w:rPr>
          <w:rFonts w:ascii="仿宋" w:eastAsia="仿宋" w:hAnsi="仿宋" w:cs="Times New Roman" w:hint="eastAsia"/>
          <w:color w:val="000000"/>
          <w:sz w:val="32"/>
          <w:szCs w:val="30"/>
        </w:rPr>
        <w:t>发行人应当披露下列机构的名称、住所、法定代表人、联系电话、传真和有关经办人员的姓名，</w:t>
      </w:r>
      <w:r w:rsidR="001231AC">
        <w:rPr>
          <w:rFonts w:ascii="仿宋" w:eastAsia="仿宋" w:hAnsi="仿宋" w:cs="Times New Roman" w:hint="eastAsia"/>
          <w:color w:val="000000"/>
          <w:sz w:val="32"/>
          <w:szCs w:val="30"/>
        </w:rPr>
        <w:t>以及</w:t>
      </w:r>
      <w:r w:rsidRPr="003E67DF">
        <w:rPr>
          <w:rFonts w:ascii="仿宋" w:eastAsia="仿宋" w:hAnsi="仿宋" w:cs="Times New Roman" w:hint="eastAsia"/>
          <w:color w:val="000000"/>
          <w:sz w:val="32"/>
          <w:szCs w:val="30"/>
        </w:rPr>
        <w:t>发行人、主承销商、与发行有关的证券服务机构</w:t>
      </w:r>
      <w:r>
        <w:rPr>
          <w:rFonts w:ascii="仿宋" w:eastAsia="仿宋" w:hAnsi="仿宋" w:cs="Times New Roman" w:hint="eastAsia"/>
          <w:color w:val="000000"/>
          <w:sz w:val="32"/>
          <w:szCs w:val="30"/>
        </w:rPr>
        <w:t>及</w:t>
      </w:r>
      <w:r w:rsidRPr="003E67DF">
        <w:rPr>
          <w:rFonts w:ascii="仿宋" w:eastAsia="仿宋" w:hAnsi="仿宋" w:cs="Times New Roman" w:hint="eastAsia"/>
          <w:color w:val="000000"/>
          <w:sz w:val="32"/>
          <w:szCs w:val="30"/>
        </w:rPr>
        <w:t>其负责人、高级管理人员、经办人员之间存在的直接</w:t>
      </w:r>
      <w:r>
        <w:rPr>
          <w:rFonts w:ascii="仿宋" w:eastAsia="仿宋" w:hAnsi="仿宋" w:cs="Times New Roman" w:hint="eastAsia"/>
          <w:color w:val="000000"/>
          <w:sz w:val="32"/>
          <w:szCs w:val="30"/>
        </w:rPr>
        <w:t>或者</w:t>
      </w:r>
      <w:r w:rsidRPr="003E67DF">
        <w:rPr>
          <w:rFonts w:ascii="仿宋" w:eastAsia="仿宋" w:hAnsi="仿宋" w:cs="Times New Roman" w:hint="eastAsia"/>
          <w:color w:val="000000"/>
          <w:sz w:val="32"/>
          <w:szCs w:val="30"/>
        </w:rPr>
        <w:t>间接的股权关系</w:t>
      </w:r>
      <w:r w:rsidR="001231AC">
        <w:rPr>
          <w:rFonts w:ascii="仿宋" w:eastAsia="仿宋" w:hAnsi="仿宋" w:cs="Times New Roman" w:hint="eastAsia"/>
          <w:color w:val="000000"/>
          <w:sz w:val="32"/>
          <w:szCs w:val="30"/>
        </w:rPr>
        <w:t>和</w:t>
      </w:r>
      <w:r w:rsidRPr="003E67DF">
        <w:rPr>
          <w:rFonts w:ascii="仿宋" w:eastAsia="仿宋" w:hAnsi="仿宋" w:cs="Times New Roman" w:hint="eastAsia"/>
          <w:color w:val="000000"/>
          <w:sz w:val="32"/>
          <w:szCs w:val="30"/>
        </w:rPr>
        <w:t>其他重大利害关系</w:t>
      </w:r>
      <w:r>
        <w:rPr>
          <w:rFonts w:ascii="仿宋" w:eastAsia="仿宋" w:hAnsi="仿宋" w:cs="Times New Roman" w:hint="eastAsia"/>
          <w:color w:val="000000"/>
          <w:sz w:val="32"/>
          <w:szCs w:val="30"/>
        </w:rPr>
        <w:t>：</w:t>
      </w:r>
    </w:p>
    <w:p w:rsidR="00DA5501" w:rsidRPr="003E67DF" w:rsidRDefault="007C17D1" w:rsidP="003E67DF">
      <w:pPr>
        <w:adjustRightInd w:val="0"/>
        <w:snapToGrid w:val="0"/>
        <w:spacing w:line="560" w:lineRule="exact"/>
        <w:ind w:firstLineChars="200" w:firstLine="640"/>
        <w:rPr>
          <w:rFonts w:ascii="仿宋" w:eastAsia="仿宋" w:hAnsi="仿宋" w:cs="Times New Roman"/>
          <w:color w:val="000000"/>
          <w:sz w:val="32"/>
          <w:szCs w:val="30"/>
        </w:rPr>
      </w:pPr>
      <w:r w:rsidRPr="003E67DF">
        <w:rPr>
          <w:rFonts w:ascii="仿宋" w:eastAsia="仿宋" w:hAnsi="仿宋" w:cs="Times New Roman" w:hint="eastAsia"/>
          <w:color w:val="000000"/>
          <w:sz w:val="32"/>
          <w:szCs w:val="30"/>
        </w:rPr>
        <w:t>（一）发行人；</w:t>
      </w:r>
    </w:p>
    <w:p w:rsidR="00DA5501" w:rsidRPr="003E67DF" w:rsidRDefault="007C17D1" w:rsidP="003E67DF">
      <w:pPr>
        <w:adjustRightInd w:val="0"/>
        <w:snapToGrid w:val="0"/>
        <w:spacing w:line="560" w:lineRule="exact"/>
        <w:ind w:firstLineChars="200" w:firstLine="640"/>
        <w:rPr>
          <w:rFonts w:ascii="仿宋" w:eastAsia="仿宋" w:hAnsi="仿宋" w:cs="Times New Roman"/>
          <w:color w:val="000000"/>
          <w:sz w:val="32"/>
          <w:szCs w:val="30"/>
        </w:rPr>
      </w:pPr>
      <w:r w:rsidRPr="003E67DF">
        <w:rPr>
          <w:rFonts w:ascii="仿宋" w:eastAsia="仿宋" w:hAnsi="仿宋" w:cs="Times New Roman" w:hint="eastAsia"/>
          <w:color w:val="000000"/>
          <w:sz w:val="32"/>
          <w:szCs w:val="30"/>
        </w:rPr>
        <w:t>（二）主承销商</w:t>
      </w:r>
      <w:r>
        <w:rPr>
          <w:rFonts w:ascii="仿宋" w:eastAsia="仿宋" w:hAnsi="仿宋" w:cs="Times New Roman" w:hint="eastAsia"/>
          <w:color w:val="000000"/>
          <w:sz w:val="32"/>
          <w:szCs w:val="30"/>
        </w:rPr>
        <w:t>以及</w:t>
      </w:r>
      <w:r w:rsidRPr="003E67DF">
        <w:rPr>
          <w:rFonts w:ascii="仿宋" w:eastAsia="仿宋" w:hAnsi="仿宋" w:cs="Times New Roman" w:hint="eastAsia"/>
          <w:color w:val="000000"/>
          <w:sz w:val="32"/>
          <w:szCs w:val="30"/>
        </w:rPr>
        <w:t>其他承销机构；</w:t>
      </w:r>
    </w:p>
    <w:p w:rsidR="00DA5501" w:rsidRPr="003E67DF" w:rsidRDefault="007C17D1" w:rsidP="003E67DF">
      <w:pPr>
        <w:adjustRightInd w:val="0"/>
        <w:snapToGrid w:val="0"/>
        <w:spacing w:line="560" w:lineRule="exact"/>
        <w:ind w:firstLineChars="200" w:firstLine="640"/>
        <w:rPr>
          <w:rFonts w:ascii="仿宋" w:eastAsia="仿宋" w:hAnsi="仿宋" w:cs="Times New Roman"/>
          <w:color w:val="000000"/>
          <w:sz w:val="32"/>
          <w:szCs w:val="30"/>
        </w:rPr>
      </w:pPr>
      <w:r w:rsidRPr="003E67DF">
        <w:rPr>
          <w:rFonts w:ascii="仿宋" w:eastAsia="仿宋" w:hAnsi="仿宋" w:cs="Times New Roman" w:hint="eastAsia"/>
          <w:color w:val="000000"/>
          <w:sz w:val="32"/>
          <w:szCs w:val="30"/>
        </w:rPr>
        <w:t>（三）律师事务所；</w:t>
      </w:r>
    </w:p>
    <w:p w:rsidR="00DA5501" w:rsidRPr="003E67DF" w:rsidRDefault="007C17D1" w:rsidP="003E67DF">
      <w:pPr>
        <w:adjustRightInd w:val="0"/>
        <w:snapToGrid w:val="0"/>
        <w:spacing w:line="560" w:lineRule="exact"/>
        <w:ind w:firstLineChars="200" w:firstLine="640"/>
        <w:rPr>
          <w:rFonts w:ascii="仿宋" w:eastAsia="仿宋" w:hAnsi="仿宋" w:cs="Times New Roman"/>
          <w:color w:val="000000"/>
          <w:sz w:val="32"/>
          <w:szCs w:val="30"/>
        </w:rPr>
      </w:pPr>
      <w:r w:rsidRPr="003E67DF">
        <w:rPr>
          <w:rFonts w:ascii="仿宋" w:eastAsia="仿宋" w:hAnsi="仿宋" w:cs="Times New Roman" w:hint="eastAsia"/>
          <w:color w:val="000000"/>
          <w:sz w:val="32"/>
          <w:szCs w:val="30"/>
        </w:rPr>
        <w:t>（四）会计师事务所；</w:t>
      </w:r>
    </w:p>
    <w:p w:rsidR="00DA5501" w:rsidRPr="003E67DF" w:rsidRDefault="007C17D1" w:rsidP="003E67DF">
      <w:pPr>
        <w:adjustRightInd w:val="0"/>
        <w:snapToGrid w:val="0"/>
        <w:spacing w:line="560" w:lineRule="exact"/>
        <w:ind w:firstLineChars="200" w:firstLine="640"/>
        <w:rPr>
          <w:rFonts w:ascii="仿宋" w:eastAsia="仿宋" w:hAnsi="仿宋" w:cs="Times New Roman"/>
          <w:color w:val="000000"/>
          <w:sz w:val="32"/>
          <w:szCs w:val="30"/>
        </w:rPr>
      </w:pPr>
      <w:r w:rsidRPr="003E67DF">
        <w:rPr>
          <w:rFonts w:ascii="仿宋" w:eastAsia="仿宋" w:hAnsi="仿宋" w:cs="Times New Roman" w:hint="eastAsia"/>
          <w:color w:val="000000"/>
          <w:sz w:val="32"/>
          <w:szCs w:val="30"/>
        </w:rPr>
        <w:t>（五）资信评级机构（如有）；</w:t>
      </w:r>
    </w:p>
    <w:p w:rsidR="00DA5501" w:rsidRPr="003E67DF" w:rsidRDefault="007C17D1" w:rsidP="003E67DF">
      <w:pPr>
        <w:adjustRightInd w:val="0"/>
        <w:snapToGrid w:val="0"/>
        <w:spacing w:line="560" w:lineRule="exact"/>
        <w:ind w:firstLineChars="200" w:firstLine="640"/>
        <w:rPr>
          <w:rFonts w:ascii="仿宋" w:eastAsia="仿宋" w:hAnsi="仿宋" w:cs="Times New Roman"/>
          <w:color w:val="000000"/>
          <w:sz w:val="32"/>
          <w:szCs w:val="30"/>
        </w:rPr>
      </w:pPr>
      <w:r w:rsidRPr="003E67DF">
        <w:rPr>
          <w:rFonts w:ascii="仿宋" w:eastAsia="仿宋" w:hAnsi="仿宋" w:cs="Times New Roman" w:hint="eastAsia"/>
          <w:color w:val="000000"/>
          <w:sz w:val="32"/>
          <w:szCs w:val="30"/>
        </w:rPr>
        <w:t>（六）增信</w:t>
      </w:r>
      <w:r>
        <w:rPr>
          <w:rFonts w:ascii="仿宋" w:eastAsia="仿宋" w:hAnsi="仿宋" w:cs="Times New Roman" w:hint="eastAsia"/>
          <w:color w:val="000000"/>
          <w:sz w:val="32"/>
          <w:szCs w:val="30"/>
        </w:rPr>
        <w:t>提供方</w:t>
      </w:r>
      <w:r w:rsidRPr="003E67DF">
        <w:rPr>
          <w:rFonts w:ascii="仿宋" w:eastAsia="仿宋" w:hAnsi="仿宋" w:cs="Times New Roman" w:hint="eastAsia"/>
          <w:color w:val="000000"/>
          <w:sz w:val="32"/>
          <w:szCs w:val="30"/>
        </w:rPr>
        <w:t>（如有）；</w:t>
      </w:r>
    </w:p>
    <w:p w:rsidR="00DA5501" w:rsidRPr="003E67DF" w:rsidRDefault="007C17D1" w:rsidP="003E67DF">
      <w:pPr>
        <w:adjustRightInd w:val="0"/>
        <w:snapToGrid w:val="0"/>
        <w:spacing w:line="560" w:lineRule="exact"/>
        <w:ind w:firstLineChars="200" w:firstLine="640"/>
        <w:rPr>
          <w:rFonts w:ascii="仿宋" w:eastAsia="仿宋" w:hAnsi="仿宋" w:cs="Times New Roman"/>
          <w:color w:val="000000"/>
          <w:sz w:val="32"/>
          <w:szCs w:val="30"/>
        </w:rPr>
      </w:pPr>
      <w:r w:rsidRPr="003E67DF">
        <w:rPr>
          <w:rFonts w:ascii="仿宋" w:eastAsia="仿宋" w:hAnsi="仿宋" w:cs="Times New Roman" w:hint="eastAsia"/>
          <w:color w:val="000000"/>
          <w:sz w:val="32"/>
          <w:szCs w:val="30"/>
        </w:rPr>
        <w:t>（七）登记、托管、结算机构；</w:t>
      </w:r>
    </w:p>
    <w:p w:rsidR="00DA5501" w:rsidRPr="003E67DF" w:rsidRDefault="007C17D1" w:rsidP="003E67DF">
      <w:pPr>
        <w:adjustRightInd w:val="0"/>
        <w:snapToGrid w:val="0"/>
        <w:spacing w:line="560" w:lineRule="exact"/>
        <w:ind w:firstLineChars="200" w:firstLine="640"/>
        <w:rPr>
          <w:rFonts w:ascii="仿宋" w:eastAsia="仿宋" w:hAnsi="仿宋" w:cs="Times New Roman"/>
          <w:color w:val="000000"/>
          <w:sz w:val="32"/>
          <w:szCs w:val="30"/>
        </w:rPr>
      </w:pPr>
      <w:r w:rsidRPr="003E67DF">
        <w:rPr>
          <w:rFonts w:ascii="仿宋" w:eastAsia="仿宋" w:hAnsi="仿宋" w:cs="Times New Roman" w:hint="eastAsia"/>
          <w:color w:val="000000"/>
          <w:sz w:val="32"/>
          <w:szCs w:val="30"/>
        </w:rPr>
        <w:t>（八）债券受托管理人；</w:t>
      </w:r>
    </w:p>
    <w:p w:rsidR="00DA5501" w:rsidRPr="003E67DF" w:rsidRDefault="007C17D1" w:rsidP="003E67DF">
      <w:pPr>
        <w:adjustRightInd w:val="0"/>
        <w:snapToGrid w:val="0"/>
        <w:spacing w:line="560" w:lineRule="exact"/>
        <w:ind w:firstLineChars="200" w:firstLine="640"/>
        <w:rPr>
          <w:rFonts w:ascii="仿宋" w:eastAsia="仿宋" w:hAnsi="仿宋" w:cs="Times New Roman"/>
          <w:color w:val="000000"/>
          <w:sz w:val="32"/>
          <w:szCs w:val="30"/>
        </w:rPr>
      </w:pPr>
      <w:r w:rsidRPr="003E67DF">
        <w:rPr>
          <w:rFonts w:ascii="仿宋" w:eastAsia="仿宋" w:hAnsi="仿宋" w:cs="Times New Roman" w:hint="eastAsia"/>
          <w:color w:val="000000"/>
          <w:sz w:val="32"/>
          <w:szCs w:val="30"/>
        </w:rPr>
        <w:t>（九）债券项目安排人（如有）；</w:t>
      </w:r>
    </w:p>
    <w:p w:rsidR="00DA5501" w:rsidRPr="003E67DF" w:rsidRDefault="007C17D1" w:rsidP="003E67DF">
      <w:pPr>
        <w:adjustRightInd w:val="0"/>
        <w:snapToGrid w:val="0"/>
        <w:spacing w:line="560" w:lineRule="exact"/>
        <w:ind w:firstLineChars="200" w:firstLine="640"/>
        <w:rPr>
          <w:rFonts w:ascii="仿宋" w:eastAsia="仿宋" w:hAnsi="仿宋" w:cs="Times New Roman"/>
          <w:color w:val="000000"/>
          <w:sz w:val="32"/>
          <w:szCs w:val="30"/>
        </w:rPr>
      </w:pPr>
      <w:r w:rsidRPr="003E67DF">
        <w:rPr>
          <w:rFonts w:ascii="仿宋" w:eastAsia="仿宋" w:hAnsi="仿宋" w:cs="Times New Roman" w:hint="eastAsia"/>
          <w:color w:val="000000"/>
          <w:sz w:val="32"/>
          <w:szCs w:val="30"/>
        </w:rPr>
        <w:t>（十）公司债券申请上市的证券交易所；</w:t>
      </w:r>
    </w:p>
    <w:p w:rsidR="00DA5501" w:rsidRPr="003E67DF" w:rsidRDefault="007C17D1" w:rsidP="003E67DF">
      <w:pPr>
        <w:adjustRightInd w:val="0"/>
        <w:snapToGrid w:val="0"/>
        <w:spacing w:line="560" w:lineRule="exact"/>
        <w:ind w:firstLineChars="200" w:firstLine="640"/>
        <w:rPr>
          <w:rFonts w:ascii="仿宋" w:eastAsia="仿宋" w:hAnsi="仿宋" w:cs="Times New Roman"/>
          <w:color w:val="000000"/>
          <w:sz w:val="32"/>
          <w:szCs w:val="30"/>
        </w:rPr>
      </w:pPr>
      <w:r w:rsidRPr="003E67DF">
        <w:rPr>
          <w:rFonts w:ascii="仿宋" w:eastAsia="仿宋" w:hAnsi="仿宋" w:cs="Times New Roman" w:hint="eastAsia"/>
          <w:color w:val="000000"/>
          <w:sz w:val="32"/>
          <w:szCs w:val="30"/>
        </w:rPr>
        <w:t>（十一）其他与发行有关的机构。</w:t>
      </w:r>
    </w:p>
    <w:p w:rsidR="002041E6"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第七十三条</w:t>
      </w:r>
      <w:r>
        <w:rPr>
          <w:rFonts w:ascii="仿宋" w:eastAsia="仿宋" w:hAnsi="仿宋" w:cs="Times New Roman" w:hint="eastAsia"/>
          <w:color w:val="000000"/>
          <w:sz w:val="32"/>
          <w:szCs w:val="30"/>
        </w:rPr>
        <w:t xml:space="preserve"> 本次债券设置项目安排人的，发行人可以在发行上市申请文件中明确项目安排人</w:t>
      </w:r>
      <w:r w:rsidR="002041E6">
        <w:rPr>
          <w:rFonts w:ascii="仿宋" w:eastAsia="仿宋" w:hAnsi="仿宋" w:cs="Times New Roman" w:hint="eastAsia"/>
          <w:color w:val="000000"/>
          <w:sz w:val="32"/>
          <w:szCs w:val="30"/>
        </w:rPr>
        <w:t>。</w:t>
      </w:r>
    </w:p>
    <w:p w:rsidR="00DA5501" w:rsidRDefault="007C17D1">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hint="eastAsia"/>
          <w:color w:val="000000"/>
          <w:sz w:val="32"/>
          <w:szCs w:val="30"/>
        </w:rPr>
        <w:lastRenderedPageBreak/>
        <w:t>商业银行可以作为项目安排人参与本次债券发行条款设计、债券销售等事项。</w:t>
      </w:r>
    </w:p>
    <w:p w:rsidR="00DA5501" w:rsidRDefault="007C17D1">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 xml:space="preserve">第七十四条 </w:t>
      </w:r>
      <w:r>
        <w:rPr>
          <w:rFonts w:ascii="仿宋" w:eastAsia="仿宋" w:hAnsi="仿宋" w:cs="Times New Roman" w:hint="eastAsia"/>
          <w:color w:val="000000"/>
          <w:sz w:val="32"/>
          <w:szCs w:val="30"/>
        </w:rPr>
        <w:t>发行人应当在募集说明书正文的尾页披露发行人</w:t>
      </w:r>
      <w:r w:rsidR="001231AC">
        <w:rPr>
          <w:rFonts w:ascii="仿宋" w:eastAsia="仿宋" w:hAnsi="仿宋" w:cs="Times New Roman" w:hint="eastAsia"/>
          <w:color w:val="000000"/>
          <w:sz w:val="32"/>
          <w:szCs w:val="30"/>
        </w:rPr>
        <w:t>，以及</w:t>
      </w:r>
      <w:r>
        <w:rPr>
          <w:rFonts w:ascii="仿宋" w:eastAsia="仿宋" w:hAnsi="仿宋" w:cs="Times New Roman" w:hint="eastAsia"/>
          <w:color w:val="000000"/>
          <w:sz w:val="32"/>
          <w:szCs w:val="30"/>
        </w:rPr>
        <w:t>发行人全体董事、监事、高级管理人员或者履行同等职责的人员</w:t>
      </w:r>
      <w:r w:rsidR="001231AC">
        <w:rPr>
          <w:rFonts w:ascii="仿宋" w:eastAsia="仿宋" w:hAnsi="仿宋" w:cs="Times New Roman" w:hint="eastAsia"/>
          <w:color w:val="000000"/>
          <w:sz w:val="32"/>
          <w:szCs w:val="30"/>
        </w:rPr>
        <w:t>和</w:t>
      </w:r>
      <w:r>
        <w:rPr>
          <w:rFonts w:ascii="仿宋" w:eastAsia="仿宋" w:hAnsi="仿宋" w:cs="Times New Roman" w:hint="eastAsia"/>
          <w:color w:val="000000"/>
          <w:sz w:val="32"/>
          <w:szCs w:val="30"/>
        </w:rPr>
        <w:t>相关中介机构的责任声明。</w:t>
      </w:r>
    </w:p>
    <w:p w:rsidR="00DA5501" w:rsidRDefault="007C17D1">
      <w:pPr>
        <w:adjustRightInd w:val="0"/>
        <w:snapToGrid w:val="0"/>
        <w:spacing w:line="560" w:lineRule="exact"/>
        <w:ind w:firstLineChars="200" w:firstLine="643"/>
        <w:rPr>
          <w:rFonts w:ascii="仿宋" w:eastAsia="仿宋" w:hAnsi="仿宋" w:cs="Times New Roman"/>
          <w:b/>
          <w:color w:val="000000"/>
          <w:sz w:val="32"/>
          <w:szCs w:val="32"/>
        </w:rPr>
      </w:pPr>
      <w:r>
        <w:rPr>
          <w:rFonts w:ascii="仿宋" w:eastAsia="仿宋" w:hAnsi="仿宋" w:cs="Times New Roman" w:hint="eastAsia"/>
          <w:b/>
          <w:color w:val="000000"/>
          <w:sz w:val="32"/>
          <w:szCs w:val="32"/>
        </w:rPr>
        <w:t xml:space="preserve">第七十五条 </w:t>
      </w:r>
      <w:r>
        <w:rPr>
          <w:rFonts w:ascii="仿宋" w:eastAsia="仿宋" w:hAnsi="仿宋" w:cs="Times New Roman" w:hint="eastAsia"/>
          <w:color w:val="000000"/>
          <w:sz w:val="32"/>
          <w:szCs w:val="32"/>
        </w:rPr>
        <w:t>募</w:t>
      </w:r>
      <w:r>
        <w:rPr>
          <w:rFonts w:ascii="仿宋_GB2312" w:eastAsia="仿宋_GB2312" w:hAnsi="仿宋_GB2312" w:hint="eastAsia"/>
          <w:sz w:val="32"/>
          <w:szCs w:val="32"/>
        </w:rPr>
        <w:t>集说明书结尾应当列明备查文件、查询地址、查询网站。备查文件包括但不限于中国证监会同意本次债券发行注册的文件、公开披露文件、</w:t>
      </w:r>
      <w:r w:rsidR="002B6BDE">
        <w:rPr>
          <w:rFonts w:ascii="仿宋_GB2312" w:eastAsia="仿宋_GB2312" w:hAnsi="仿宋_GB2312" w:hint="eastAsia"/>
          <w:sz w:val="32"/>
          <w:szCs w:val="32"/>
        </w:rPr>
        <w:t>募投</w:t>
      </w:r>
      <w:r>
        <w:rPr>
          <w:rFonts w:ascii="仿宋_GB2312" w:eastAsia="仿宋_GB2312" w:hAnsi="仿宋_GB2312" w:hint="eastAsia"/>
          <w:sz w:val="32"/>
          <w:szCs w:val="32"/>
        </w:rPr>
        <w:t>项目相关批复文件</w:t>
      </w:r>
      <w:r>
        <w:rPr>
          <w:rFonts w:ascii="仿宋_GB2312" w:eastAsia="仿宋_GB2312" w:hAnsi="宋体" w:cs="宋体" w:hint="eastAsia"/>
          <w:sz w:val="32"/>
          <w:szCs w:val="32"/>
        </w:rPr>
        <w:t>。</w:t>
      </w:r>
    </w:p>
    <w:p w:rsidR="00DA5501" w:rsidRDefault="007C17D1">
      <w:pPr>
        <w:adjustRightInd w:val="0"/>
        <w:snapToGrid w:val="0"/>
        <w:spacing w:line="560" w:lineRule="exact"/>
        <w:jc w:val="center"/>
        <w:outlineLvl w:val="1"/>
        <w:rPr>
          <w:rFonts w:ascii="Times New Roman" w:eastAsia="楷体_GB2312" w:hAnsi="Times New Roman" w:cs="Times New Roman"/>
          <w:bCs/>
          <w:color w:val="000000"/>
          <w:kern w:val="0"/>
          <w:sz w:val="32"/>
          <w:szCs w:val="30"/>
        </w:rPr>
      </w:pPr>
      <w:r>
        <w:rPr>
          <w:rFonts w:ascii="Times New Roman" w:eastAsia="楷体_GB2312" w:hAnsi="Times New Roman" w:cs="Times New Roman" w:hint="eastAsia"/>
          <w:bCs/>
          <w:color w:val="000000"/>
          <w:kern w:val="0"/>
          <w:sz w:val="32"/>
          <w:szCs w:val="30"/>
        </w:rPr>
        <w:t>第二节</w:t>
      </w:r>
      <w:r>
        <w:rPr>
          <w:rFonts w:ascii="Times New Roman" w:eastAsia="楷体_GB2312" w:hAnsi="Times New Roman" w:cs="Times New Roman"/>
          <w:bCs/>
          <w:color w:val="000000"/>
          <w:kern w:val="0"/>
          <w:sz w:val="32"/>
          <w:szCs w:val="30"/>
        </w:rPr>
        <w:t xml:space="preserve"> </w:t>
      </w:r>
      <w:r>
        <w:rPr>
          <w:rFonts w:ascii="Times New Roman" w:eastAsia="楷体_GB2312" w:hAnsi="Times New Roman" w:cs="Times New Roman" w:hint="eastAsia"/>
          <w:bCs/>
          <w:color w:val="000000"/>
          <w:kern w:val="0"/>
          <w:sz w:val="32"/>
          <w:szCs w:val="30"/>
        </w:rPr>
        <w:t>募集说明书摘要编制要求</w:t>
      </w:r>
    </w:p>
    <w:p w:rsidR="00DA5501" w:rsidRDefault="007C17D1">
      <w:pPr>
        <w:adjustRightInd w:val="0"/>
        <w:snapToGrid w:val="0"/>
        <w:spacing w:line="560" w:lineRule="exact"/>
        <w:ind w:firstLineChars="200" w:firstLine="643"/>
        <w:rPr>
          <w:rFonts w:ascii="仿宋_GB2312" w:eastAsia="仿宋_GB2312" w:hAnsi="Times New Roman" w:cs="Times New Roman"/>
          <w:color w:val="000000"/>
          <w:sz w:val="32"/>
          <w:szCs w:val="30"/>
        </w:rPr>
      </w:pPr>
      <w:r>
        <w:rPr>
          <w:rFonts w:ascii="仿宋_GB2312" w:eastAsia="仿宋_GB2312" w:hAnsi="Times New Roman" w:cs="Times New Roman" w:hint="eastAsia"/>
          <w:b/>
          <w:color w:val="000000"/>
          <w:sz w:val="32"/>
          <w:szCs w:val="30"/>
        </w:rPr>
        <w:t>第七十六条</w:t>
      </w:r>
      <w:r>
        <w:rPr>
          <w:rFonts w:ascii="仿宋_GB2312" w:eastAsia="仿宋_GB2312" w:hAnsi="Times New Roman" w:cs="Times New Roman" w:hint="eastAsia"/>
          <w:color w:val="000000"/>
          <w:sz w:val="32"/>
          <w:szCs w:val="30"/>
        </w:rPr>
        <w:t xml:space="preserve"> 募集说明书摘要仅为向投资者提供有关本次发行的简要情况。募集说明书摘要内容应当忠实于募集说明书全文，不得与全文相矛盾。</w:t>
      </w:r>
    </w:p>
    <w:p w:rsidR="00DA5501" w:rsidRDefault="007C17D1">
      <w:pPr>
        <w:adjustRightInd w:val="0"/>
        <w:snapToGrid w:val="0"/>
        <w:spacing w:line="560" w:lineRule="exact"/>
        <w:ind w:firstLineChars="200" w:firstLine="643"/>
        <w:rPr>
          <w:rFonts w:ascii="仿宋_GB2312" w:eastAsia="仿宋_GB2312" w:hAnsi="Times New Roman" w:cs="Times New Roman"/>
          <w:color w:val="000000"/>
          <w:sz w:val="32"/>
          <w:szCs w:val="30"/>
        </w:rPr>
      </w:pPr>
      <w:r>
        <w:rPr>
          <w:rFonts w:ascii="仿宋_GB2312" w:eastAsia="仿宋_GB2312" w:hAnsi="Times New Roman" w:cs="Times New Roman" w:hint="eastAsia"/>
          <w:b/>
          <w:color w:val="000000"/>
          <w:sz w:val="32"/>
          <w:szCs w:val="30"/>
        </w:rPr>
        <w:t>第七十七条</w:t>
      </w:r>
      <w:r>
        <w:rPr>
          <w:rFonts w:ascii="仿宋_GB2312" w:eastAsia="仿宋_GB2312" w:hAnsi="Times New Roman" w:cs="Times New Roman" w:hint="eastAsia"/>
          <w:color w:val="000000"/>
          <w:sz w:val="32"/>
          <w:szCs w:val="30"/>
        </w:rPr>
        <w:t xml:space="preserve"> 发行人应当在募集说明书摘要的显著位置声明募集说明书摘要不包括募集说明书全文内容，提醒投资者做出认购决定之前，应当仔细阅读募集说明书全文，并以其作为投资决定的依据。</w:t>
      </w:r>
    </w:p>
    <w:p w:rsidR="00DA5501" w:rsidRDefault="007C17D1">
      <w:pPr>
        <w:adjustRightInd w:val="0"/>
        <w:snapToGrid w:val="0"/>
        <w:spacing w:line="560" w:lineRule="exact"/>
        <w:ind w:firstLineChars="200" w:firstLine="643"/>
        <w:rPr>
          <w:rFonts w:ascii="仿宋_GB2312" w:eastAsia="仿宋_GB2312" w:hAnsi="Times New Roman" w:cs="Times New Roman"/>
          <w:color w:val="000000"/>
          <w:sz w:val="32"/>
          <w:szCs w:val="30"/>
        </w:rPr>
      </w:pPr>
      <w:r>
        <w:rPr>
          <w:rFonts w:ascii="仿宋_GB2312" w:eastAsia="仿宋_GB2312" w:hAnsi="Times New Roman" w:cs="Times New Roman" w:hint="eastAsia"/>
          <w:b/>
          <w:color w:val="000000"/>
          <w:sz w:val="32"/>
          <w:szCs w:val="30"/>
        </w:rPr>
        <w:t>第七十八条</w:t>
      </w:r>
      <w:r>
        <w:rPr>
          <w:rFonts w:ascii="仿宋_GB2312" w:eastAsia="仿宋_GB2312" w:hAnsi="Times New Roman" w:cs="Times New Roman" w:hint="eastAsia"/>
          <w:color w:val="000000"/>
          <w:sz w:val="32"/>
          <w:szCs w:val="30"/>
        </w:rPr>
        <w:t xml:space="preserve"> 募集说明书摘要应当至少包括：</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（一）发行条款；</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（二）评级情况（如有）；</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（三）发行人基本情况；</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（四）发行人信用情况；</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t>（五）发行人主要财务情况；</w:t>
      </w:r>
    </w:p>
    <w:p w:rsidR="00DA5501" w:rsidRDefault="007C17D1">
      <w:pPr>
        <w:adjustRightInd w:val="0"/>
        <w:snapToGrid w:val="0"/>
        <w:spacing w:line="560" w:lineRule="exact"/>
        <w:ind w:firstLineChars="200" w:firstLine="640"/>
        <w:rPr>
          <w:rFonts w:ascii="仿宋_GB2312" w:eastAsia="仿宋_GB2312" w:hAnsi="Times New Roman" w:cs="Times New Roman"/>
          <w:color w:val="000000"/>
          <w:sz w:val="32"/>
          <w:szCs w:val="30"/>
        </w:rPr>
      </w:pPr>
      <w:r>
        <w:rPr>
          <w:rFonts w:ascii="仿宋_GB2312" w:eastAsia="仿宋_GB2312" w:hAnsi="Times New Roman" w:cs="Times New Roman" w:hint="eastAsia"/>
          <w:color w:val="000000"/>
          <w:sz w:val="32"/>
          <w:szCs w:val="30"/>
        </w:rPr>
        <w:lastRenderedPageBreak/>
        <w:t>（六）募集资金运用。</w:t>
      </w:r>
    </w:p>
    <w:p w:rsidR="00DA5501" w:rsidRDefault="007C17D1" w:rsidP="009C45D2">
      <w:pPr>
        <w:adjustRightInd w:val="0"/>
        <w:snapToGrid w:val="0"/>
        <w:spacing w:line="560" w:lineRule="exact"/>
        <w:ind w:firstLineChars="200" w:firstLine="643"/>
        <w:rPr>
          <w:rFonts w:ascii="仿宋_GB2312" w:eastAsia="仿宋_GB2312" w:hAnsi="Times New Roman" w:cs="Times New Roman"/>
          <w:color w:val="000000"/>
          <w:sz w:val="32"/>
          <w:szCs w:val="30"/>
        </w:rPr>
      </w:pPr>
      <w:r>
        <w:rPr>
          <w:rFonts w:ascii="仿宋_GB2312" w:eastAsia="仿宋_GB2312" w:hAnsi="Times New Roman" w:cs="Times New Roman" w:hint="eastAsia"/>
          <w:b/>
          <w:color w:val="000000"/>
          <w:sz w:val="32"/>
          <w:szCs w:val="30"/>
        </w:rPr>
        <w:t>第七十九条</w:t>
      </w:r>
      <w:r>
        <w:rPr>
          <w:rFonts w:ascii="仿宋_GB2312" w:eastAsia="仿宋_GB2312" w:hAnsi="Times New Roman" w:cs="Times New Roman" w:hint="eastAsia"/>
          <w:color w:val="000000"/>
          <w:sz w:val="32"/>
          <w:szCs w:val="30"/>
        </w:rPr>
        <w:t xml:space="preserve"> 募集说明书摘要的结尾应当说明募集说明书全文以及备查文件的查阅方式。</w:t>
      </w:r>
    </w:p>
    <w:p w:rsidR="00DA5138" w:rsidRDefault="00DA5138" w:rsidP="00DA5138">
      <w:pPr>
        <w:adjustRightInd w:val="0"/>
        <w:snapToGrid w:val="0"/>
        <w:spacing w:line="560" w:lineRule="exact"/>
        <w:ind w:firstLineChars="200" w:firstLine="640"/>
        <w:rPr>
          <w:rFonts w:ascii="仿宋_GB2312" w:eastAsia="仿宋_GB2312" w:hAnsi="Times New Roman" w:cs="Times New Roman"/>
          <w:color w:val="000000"/>
          <w:sz w:val="32"/>
          <w:szCs w:val="30"/>
        </w:rPr>
      </w:pPr>
    </w:p>
    <w:p w:rsidR="00DA5501" w:rsidRDefault="007C17D1" w:rsidP="00DA5138">
      <w:pPr>
        <w:adjustRightInd w:val="0"/>
        <w:snapToGrid w:val="0"/>
        <w:spacing w:line="560" w:lineRule="exact"/>
        <w:jc w:val="center"/>
        <w:outlineLvl w:val="0"/>
        <w:rPr>
          <w:rFonts w:ascii="Times New Roman" w:eastAsia="黑体" w:hAnsi="Times New Roman" w:cs="Times New Roman"/>
          <w:bCs/>
          <w:color w:val="000000"/>
          <w:spacing w:val="-15"/>
          <w:kern w:val="0"/>
          <w:sz w:val="32"/>
          <w:szCs w:val="30"/>
        </w:rPr>
      </w:pPr>
      <w:bookmarkStart w:id="9" w:name="_Toc96687522"/>
      <w:r>
        <w:rPr>
          <w:rFonts w:ascii="Times New Roman" w:eastAsia="黑体" w:hAnsi="Times New Roman" w:cs="Times New Roman" w:hint="eastAsia"/>
          <w:bCs/>
          <w:color w:val="000000"/>
          <w:kern w:val="0"/>
          <w:sz w:val="32"/>
          <w:szCs w:val="30"/>
        </w:rPr>
        <w:t>第四章</w:t>
      </w:r>
      <w:r>
        <w:rPr>
          <w:rFonts w:ascii="Times New Roman" w:eastAsia="黑体" w:hAnsi="Times New Roman" w:cs="Times New Roman"/>
          <w:bCs/>
          <w:color w:val="000000"/>
          <w:kern w:val="0"/>
          <w:sz w:val="32"/>
          <w:szCs w:val="30"/>
        </w:rPr>
        <w:t xml:space="preserve"> </w:t>
      </w:r>
      <w:r>
        <w:rPr>
          <w:rFonts w:ascii="Times New Roman" w:eastAsia="黑体" w:hAnsi="Times New Roman" w:cs="Times New Roman" w:hint="eastAsia"/>
          <w:bCs/>
          <w:color w:val="000000"/>
          <w:kern w:val="0"/>
          <w:sz w:val="32"/>
          <w:szCs w:val="30"/>
        </w:rPr>
        <w:t>主承销商和证券服务机构核查文件编</w:t>
      </w:r>
      <w:r>
        <w:rPr>
          <w:rFonts w:ascii="Times New Roman" w:eastAsia="黑体" w:hAnsi="Times New Roman" w:cs="Times New Roman" w:hint="eastAsia"/>
          <w:bCs/>
          <w:color w:val="000000"/>
          <w:spacing w:val="-15"/>
          <w:kern w:val="0"/>
          <w:sz w:val="32"/>
          <w:szCs w:val="30"/>
        </w:rPr>
        <w:t>制</w:t>
      </w:r>
      <w:bookmarkEnd w:id="9"/>
      <w:r>
        <w:rPr>
          <w:rFonts w:ascii="Times New Roman" w:eastAsia="黑体" w:hAnsi="Times New Roman" w:cs="Times New Roman" w:hint="eastAsia"/>
          <w:bCs/>
          <w:color w:val="000000"/>
          <w:spacing w:val="-15"/>
          <w:kern w:val="0"/>
          <w:sz w:val="32"/>
          <w:szCs w:val="30"/>
        </w:rPr>
        <w:t>要求</w:t>
      </w:r>
    </w:p>
    <w:p w:rsidR="00DA5501" w:rsidRPr="00F02857" w:rsidRDefault="007C17D1">
      <w:pPr>
        <w:adjustRightInd w:val="0"/>
        <w:snapToGrid w:val="0"/>
        <w:spacing w:line="560" w:lineRule="exact"/>
        <w:ind w:firstLineChars="200" w:firstLine="643"/>
        <w:rPr>
          <w:rFonts w:ascii="仿宋" w:eastAsia="仿宋" w:hAnsi="仿宋" w:cs="Times New Roman"/>
          <w:b/>
          <w:color w:val="000000"/>
          <w:kern w:val="0"/>
          <w:sz w:val="32"/>
          <w:szCs w:val="30"/>
          <w:lang w:bidi="en-US"/>
        </w:rPr>
      </w:pPr>
      <w:bookmarkStart w:id="10" w:name="_TOC_250009"/>
      <w:bookmarkEnd w:id="10"/>
      <w:r w:rsidRPr="00F02857">
        <w:rPr>
          <w:rFonts w:ascii="仿宋" w:eastAsia="仿宋" w:hAnsi="仿宋" w:cs="Times New Roman" w:hint="eastAsia"/>
          <w:b/>
          <w:color w:val="000000"/>
          <w:kern w:val="0"/>
          <w:sz w:val="32"/>
          <w:szCs w:val="30"/>
          <w:lang w:bidi="en-US"/>
        </w:rPr>
        <w:t xml:space="preserve">第八十条 </w:t>
      </w:r>
      <w:r w:rsidRPr="00166E29">
        <w:rPr>
          <w:rFonts w:ascii="仿宋" w:eastAsia="仿宋" w:hAnsi="仿宋" w:hint="eastAsia"/>
          <w:kern w:val="0"/>
          <w:sz w:val="32"/>
          <w:lang w:bidi="en-US"/>
        </w:rPr>
        <w:t>本指引是主承销商和证券服务机构核查意见的最低要求，除本指引规定的核查事项外，主承销商和证券服务机构还应当对发行人偿债能力或者投资者做出投资决策有重要影响的其他事项进行核查。本指引相关核查事项确不适用的，可以在核查意见中作出说明。</w:t>
      </w:r>
    </w:p>
    <w:p w:rsidR="00DA5501" w:rsidRPr="00886796" w:rsidRDefault="00212B03">
      <w:pPr>
        <w:adjustRightInd w:val="0"/>
        <w:snapToGrid w:val="0"/>
        <w:spacing w:line="560" w:lineRule="exact"/>
        <w:ind w:firstLineChars="200" w:firstLine="643"/>
        <w:rPr>
          <w:rFonts w:ascii="仿宋" w:eastAsia="仿宋" w:hAnsi="仿宋" w:cs="Times New Roman"/>
          <w:b/>
          <w:color w:val="000000"/>
          <w:kern w:val="0"/>
          <w:sz w:val="32"/>
          <w:szCs w:val="30"/>
          <w:lang w:bidi="en-US"/>
        </w:rPr>
      </w:pPr>
      <w:r w:rsidRPr="00886796">
        <w:rPr>
          <w:rFonts w:ascii="仿宋" w:eastAsia="仿宋" w:hAnsi="仿宋" w:cs="Times New Roman" w:hint="eastAsia"/>
          <w:b/>
          <w:bCs/>
          <w:color w:val="000000"/>
          <w:kern w:val="0"/>
          <w:sz w:val="32"/>
          <w:szCs w:val="30"/>
          <w:lang w:bidi="en-US"/>
        </w:rPr>
        <w:t>第八十</w:t>
      </w:r>
      <w:r>
        <w:rPr>
          <w:rFonts w:ascii="仿宋" w:eastAsia="仿宋" w:hAnsi="仿宋" w:cs="Times New Roman" w:hint="eastAsia"/>
          <w:b/>
          <w:bCs/>
          <w:color w:val="000000"/>
          <w:kern w:val="0"/>
          <w:sz w:val="32"/>
          <w:szCs w:val="30"/>
          <w:lang w:bidi="en-US"/>
        </w:rPr>
        <w:t>一</w:t>
      </w:r>
      <w:r w:rsidR="007C17D1" w:rsidRPr="00886796">
        <w:rPr>
          <w:rFonts w:ascii="仿宋" w:eastAsia="仿宋" w:hAnsi="仿宋" w:cs="Times New Roman" w:hint="eastAsia"/>
          <w:b/>
          <w:bCs/>
          <w:color w:val="000000"/>
          <w:kern w:val="0"/>
          <w:sz w:val="32"/>
          <w:szCs w:val="30"/>
          <w:lang w:bidi="en-US"/>
        </w:rPr>
        <w:t>条</w:t>
      </w:r>
      <w:r w:rsidR="007C17D1" w:rsidRPr="00886796">
        <w:rPr>
          <w:rFonts w:ascii="仿宋" w:eastAsia="仿宋" w:hAnsi="仿宋" w:cs="Times New Roman"/>
          <w:b/>
          <w:bCs/>
          <w:color w:val="000000"/>
          <w:kern w:val="0"/>
          <w:sz w:val="32"/>
          <w:szCs w:val="30"/>
          <w:lang w:bidi="en-US"/>
        </w:rPr>
        <w:t xml:space="preserve"> </w:t>
      </w:r>
      <w:r w:rsidR="007C17D1" w:rsidRPr="00886796">
        <w:rPr>
          <w:rFonts w:ascii="仿宋" w:eastAsia="仿宋" w:hAnsi="仿宋" w:cs="Times New Roman" w:hint="eastAsia"/>
          <w:color w:val="000000"/>
          <w:kern w:val="0"/>
          <w:sz w:val="32"/>
          <w:szCs w:val="30"/>
          <w:lang w:bidi="en-US"/>
        </w:rPr>
        <w:t>《主承销商核查意见》应当经内核部门审核，主要内容应当包括：</w:t>
      </w:r>
    </w:p>
    <w:p w:rsidR="00DA5501" w:rsidRPr="00886796"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886796">
        <w:rPr>
          <w:rFonts w:ascii="仿宋" w:eastAsia="仿宋" w:hAnsi="仿宋" w:cs="Times New Roman" w:hint="eastAsia"/>
          <w:color w:val="000000"/>
          <w:kern w:val="0"/>
          <w:sz w:val="32"/>
          <w:szCs w:val="30"/>
          <w:lang w:bidi="en-US"/>
        </w:rPr>
        <w:t>（一）发行人基本情况；</w:t>
      </w:r>
    </w:p>
    <w:p w:rsidR="00DA5501" w:rsidRPr="00886796"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886796">
        <w:rPr>
          <w:rFonts w:ascii="仿宋" w:eastAsia="仿宋" w:hAnsi="仿宋" w:cs="Times New Roman" w:hint="eastAsia"/>
          <w:color w:val="000000"/>
          <w:kern w:val="0"/>
          <w:sz w:val="32"/>
          <w:szCs w:val="30"/>
          <w:lang w:bidi="en-US"/>
        </w:rPr>
        <w:t>（二）本次债券主要发行条款；</w:t>
      </w:r>
    </w:p>
    <w:p w:rsidR="00DA5501" w:rsidRPr="00886796"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886796">
        <w:rPr>
          <w:rFonts w:ascii="仿宋" w:eastAsia="仿宋" w:hAnsi="仿宋" w:cs="Times New Roman" w:hint="eastAsia"/>
          <w:color w:val="000000"/>
          <w:kern w:val="0"/>
          <w:sz w:val="32"/>
          <w:szCs w:val="30"/>
          <w:lang w:bidi="en-US"/>
        </w:rPr>
        <w:t>（三）发行人是否履行了规定的内部决策程序；</w:t>
      </w:r>
    </w:p>
    <w:p w:rsidR="00DA5501" w:rsidRPr="00886796"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886796">
        <w:rPr>
          <w:rFonts w:ascii="仿宋" w:eastAsia="仿宋" w:hAnsi="仿宋" w:cs="Times New Roman" w:hint="eastAsia"/>
          <w:color w:val="000000"/>
          <w:kern w:val="0"/>
          <w:sz w:val="32"/>
          <w:szCs w:val="30"/>
          <w:lang w:bidi="en-US"/>
        </w:rPr>
        <w:t>（四）对募集文件真实性、准确性和完整性的核</w:t>
      </w:r>
      <w:r w:rsidR="00A1596C" w:rsidRPr="00886796">
        <w:rPr>
          <w:rFonts w:ascii="仿宋" w:eastAsia="仿宋" w:hAnsi="仿宋" w:cs="Times New Roman" w:hint="eastAsia"/>
          <w:color w:val="000000"/>
          <w:kern w:val="0"/>
          <w:sz w:val="32"/>
          <w:szCs w:val="30"/>
          <w:lang w:bidi="en-US"/>
        </w:rPr>
        <w:t>查</w:t>
      </w:r>
      <w:r w:rsidRPr="00886796">
        <w:rPr>
          <w:rFonts w:ascii="仿宋" w:eastAsia="仿宋" w:hAnsi="仿宋" w:cs="Times New Roman" w:hint="eastAsia"/>
          <w:color w:val="000000"/>
          <w:kern w:val="0"/>
          <w:sz w:val="32"/>
          <w:szCs w:val="30"/>
          <w:lang w:bidi="en-US"/>
        </w:rPr>
        <w:t>意见，包括募集文件中与发行条件相关的内容是否符合法律法规以及部门规章规定的意见；</w:t>
      </w:r>
    </w:p>
    <w:p w:rsidR="00DA5501" w:rsidRPr="00886796"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886796">
        <w:rPr>
          <w:rFonts w:ascii="仿宋" w:eastAsia="仿宋" w:hAnsi="仿宋" w:cs="Times New Roman" w:hint="eastAsia"/>
          <w:color w:val="000000"/>
          <w:kern w:val="0"/>
          <w:sz w:val="32"/>
          <w:szCs w:val="30"/>
          <w:lang w:bidi="en-US"/>
        </w:rPr>
        <w:t>（五）发行人存在的主要风险；</w:t>
      </w:r>
    </w:p>
    <w:p w:rsidR="00DA5501" w:rsidRPr="00886796"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886796">
        <w:rPr>
          <w:rFonts w:ascii="仿宋" w:eastAsia="仿宋" w:hAnsi="仿宋" w:cs="Times New Roman" w:hint="eastAsia"/>
          <w:color w:val="000000"/>
          <w:kern w:val="0"/>
          <w:sz w:val="32"/>
          <w:szCs w:val="30"/>
          <w:lang w:bidi="en-US"/>
        </w:rPr>
        <w:t>（六）主承销商已按照规定履行尽职调查和审慎核查的承诺；</w:t>
      </w:r>
    </w:p>
    <w:p w:rsidR="00DA5501"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886796">
        <w:rPr>
          <w:rFonts w:ascii="仿宋" w:eastAsia="仿宋" w:hAnsi="仿宋" w:cs="Times New Roman" w:hint="eastAsia"/>
          <w:color w:val="000000"/>
          <w:kern w:val="0"/>
          <w:sz w:val="32"/>
          <w:szCs w:val="30"/>
          <w:lang w:bidi="en-US"/>
        </w:rPr>
        <w:t>（七）主承销商是否履行了内核程序，以及内核关注的主要问题、解决情况和内核意见；</w:t>
      </w:r>
    </w:p>
    <w:p w:rsidR="001B4674" w:rsidRPr="00886796" w:rsidRDefault="001B4674">
      <w:pPr>
        <w:adjustRightInd w:val="0"/>
        <w:snapToGrid w:val="0"/>
        <w:spacing w:line="560" w:lineRule="exact"/>
        <w:ind w:firstLineChars="200" w:firstLine="640"/>
        <w:rPr>
          <w:rFonts w:ascii="仿宋" w:eastAsia="仿宋" w:hAnsi="仿宋" w:cs="Times New Roman"/>
          <w:color w:val="000000"/>
          <w:kern w:val="0"/>
          <w:sz w:val="32"/>
          <w:szCs w:val="30"/>
          <w:lang w:bidi="en-US"/>
        </w:rPr>
      </w:pPr>
      <w:r>
        <w:rPr>
          <w:rFonts w:ascii="仿宋" w:eastAsia="仿宋" w:hAnsi="仿宋" w:cs="Times New Roman" w:hint="eastAsia"/>
          <w:color w:val="000000"/>
          <w:kern w:val="0"/>
          <w:sz w:val="32"/>
          <w:szCs w:val="30"/>
          <w:lang w:bidi="en-US"/>
        </w:rPr>
        <w:lastRenderedPageBreak/>
        <w:t>（八）发行人本次发行公司债券是否符合地方政府性债务管理的相关规定的核查意见（适用于地方政府及其部门、机构直接或者间接控股的发行人）；</w:t>
      </w:r>
    </w:p>
    <w:p w:rsidR="00DA5501" w:rsidRPr="00886796"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886796">
        <w:rPr>
          <w:rFonts w:ascii="仿宋" w:eastAsia="仿宋" w:hAnsi="仿宋" w:cs="Times New Roman" w:hint="eastAsia"/>
          <w:color w:val="000000"/>
          <w:kern w:val="0"/>
          <w:sz w:val="32"/>
          <w:szCs w:val="30"/>
          <w:lang w:bidi="en-US"/>
        </w:rPr>
        <w:t>（</w:t>
      </w:r>
      <w:r w:rsidR="001B4674">
        <w:rPr>
          <w:rFonts w:ascii="仿宋" w:eastAsia="仿宋" w:hAnsi="仿宋" w:cs="Times New Roman" w:hint="eastAsia"/>
          <w:color w:val="000000"/>
          <w:kern w:val="0"/>
          <w:sz w:val="32"/>
          <w:szCs w:val="30"/>
          <w:lang w:bidi="en-US"/>
        </w:rPr>
        <w:t>九</w:t>
      </w:r>
      <w:r w:rsidRPr="00886796">
        <w:rPr>
          <w:rFonts w:ascii="仿宋" w:eastAsia="仿宋" w:hAnsi="仿宋" w:cs="Times New Roman" w:hint="eastAsia"/>
          <w:color w:val="000000"/>
          <w:kern w:val="0"/>
          <w:sz w:val="32"/>
          <w:szCs w:val="30"/>
          <w:lang w:bidi="en-US"/>
        </w:rPr>
        <w:t>）中国证监会、本所要求的其他内容以及主承销商认为需要反映的其他内容。</w:t>
      </w:r>
    </w:p>
    <w:p w:rsidR="00DA5501" w:rsidRPr="00886796" w:rsidRDefault="00212B03">
      <w:pPr>
        <w:adjustRightInd w:val="0"/>
        <w:snapToGrid w:val="0"/>
        <w:spacing w:line="560" w:lineRule="exact"/>
        <w:ind w:firstLineChars="200" w:firstLine="643"/>
        <w:rPr>
          <w:rFonts w:ascii="仿宋" w:eastAsia="仿宋" w:hAnsi="仿宋" w:cs="Times New Roman"/>
          <w:bCs/>
          <w:color w:val="000000"/>
          <w:kern w:val="0"/>
          <w:sz w:val="32"/>
          <w:szCs w:val="30"/>
          <w:lang w:bidi="en-US"/>
        </w:rPr>
      </w:pPr>
      <w:r w:rsidRPr="00886796">
        <w:rPr>
          <w:rFonts w:ascii="仿宋" w:eastAsia="仿宋" w:hAnsi="仿宋" w:cs="Times New Roman" w:hint="eastAsia"/>
          <w:b/>
          <w:color w:val="000000"/>
          <w:kern w:val="0"/>
          <w:sz w:val="32"/>
          <w:szCs w:val="30"/>
          <w:lang w:bidi="en-US"/>
        </w:rPr>
        <w:t>第八十</w:t>
      </w:r>
      <w:r>
        <w:rPr>
          <w:rFonts w:ascii="仿宋" w:eastAsia="仿宋" w:hAnsi="仿宋" w:cs="Times New Roman" w:hint="eastAsia"/>
          <w:b/>
          <w:color w:val="000000"/>
          <w:kern w:val="0"/>
          <w:sz w:val="32"/>
          <w:szCs w:val="30"/>
          <w:lang w:bidi="en-US"/>
        </w:rPr>
        <w:t>二</w:t>
      </w:r>
      <w:r w:rsidR="007C17D1" w:rsidRPr="00886796">
        <w:rPr>
          <w:rFonts w:ascii="仿宋" w:eastAsia="仿宋" w:hAnsi="仿宋" w:cs="Times New Roman" w:hint="eastAsia"/>
          <w:b/>
          <w:color w:val="000000"/>
          <w:kern w:val="0"/>
          <w:sz w:val="32"/>
          <w:szCs w:val="30"/>
          <w:lang w:bidi="en-US"/>
        </w:rPr>
        <w:t>条</w:t>
      </w:r>
      <w:r w:rsidR="007C17D1" w:rsidRPr="00886796">
        <w:rPr>
          <w:rFonts w:ascii="仿宋" w:eastAsia="仿宋" w:hAnsi="仿宋" w:cs="Times New Roman"/>
          <w:b/>
          <w:color w:val="000000"/>
          <w:kern w:val="0"/>
          <w:sz w:val="32"/>
          <w:szCs w:val="30"/>
          <w:lang w:bidi="en-US"/>
        </w:rPr>
        <w:t xml:space="preserve"> </w:t>
      </w:r>
      <w:r w:rsidR="007C17D1" w:rsidRPr="00886796">
        <w:rPr>
          <w:rFonts w:ascii="仿宋" w:eastAsia="仿宋" w:hAnsi="仿宋" w:cs="Times New Roman" w:hint="eastAsia"/>
          <w:bCs/>
          <w:color w:val="000000"/>
          <w:kern w:val="0"/>
          <w:sz w:val="32"/>
          <w:szCs w:val="30"/>
          <w:lang w:bidi="en-US"/>
        </w:rPr>
        <w:t>主承销商应当就发行人基本情况进行核查并发表明确意见，包括但不限于：</w:t>
      </w:r>
    </w:p>
    <w:p w:rsidR="00DA5501" w:rsidRPr="00886796"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886796">
        <w:rPr>
          <w:rFonts w:ascii="仿宋" w:eastAsia="仿宋" w:hAnsi="仿宋" w:cs="Times New Roman" w:hint="eastAsia"/>
          <w:color w:val="000000"/>
          <w:kern w:val="0"/>
          <w:sz w:val="32"/>
          <w:szCs w:val="30"/>
          <w:lang w:bidi="en-US"/>
        </w:rPr>
        <w:t>（一）发行人股权结构是否真实、准确、完整并履行相关权属登记程序，是否存在重大权属纠纷</w:t>
      </w:r>
      <w:r w:rsidR="001231AC">
        <w:rPr>
          <w:rFonts w:ascii="仿宋" w:eastAsia="仿宋" w:hAnsi="仿宋" w:cs="Times New Roman" w:hint="eastAsia"/>
          <w:color w:val="000000"/>
          <w:kern w:val="0"/>
          <w:sz w:val="32"/>
          <w:szCs w:val="30"/>
          <w:lang w:bidi="en-US"/>
        </w:rPr>
        <w:t>，</w:t>
      </w:r>
      <w:r w:rsidRPr="00886796">
        <w:rPr>
          <w:rFonts w:ascii="仿宋" w:eastAsia="仿宋" w:hAnsi="仿宋" w:cs="Times New Roman" w:hint="eastAsia"/>
          <w:color w:val="000000"/>
          <w:kern w:val="0"/>
          <w:sz w:val="32"/>
          <w:szCs w:val="30"/>
          <w:lang w:bidi="en-US"/>
        </w:rPr>
        <w:t>是否存在质押或者其他受限情形；</w:t>
      </w:r>
    </w:p>
    <w:p w:rsidR="00DA5501" w:rsidRPr="00886796"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886796">
        <w:rPr>
          <w:rFonts w:ascii="仿宋" w:eastAsia="仿宋" w:hAnsi="仿宋" w:cs="Times New Roman" w:hint="eastAsia"/>
          <w:color w:val="000000"/>
          <w:kern w:val="0"/>
          <w:sz w:val="32"/>
          <w:szCs w:val="30"/>
          <w:lang w:bidi="en-US"/>
        </w:rPr>
        <w:t>（二）发行人重要子公司范围是否真实、准确、完整，重要子公司是否均依法设立并有效存续，发行人是否取得了必要权属证明或者其它控制权文件，是否存在重大权属纠纷</w:t>
      </w:r>
      <w:r w:rsidR="001231AC">
        <w:rPr>
          <w:rFonts w:ascii="仿宋" w:eastAsia="仿宋" w:hAnsi="仿宋" w:cs="Times New Roman" w:hint="eastAsia"/>
          <w:color w:val="000000"/>
          <w:kern w:val="0"/>
          <w:sz w:val="32"/>
          <w:szCs w:val="30"/>
          <w:lang w:bidi="en-US"/>
        </w:rPr>
        <w:t>，</w:t>
      </w:r>
      <w:r w:rsidRPr="00886796">
        <w:rPr>
          <w:rFonts w:ascii="仿宋" w:eastAsia="仿宋" w:hAnsi="仿宋" w:cs="Times New Roman" w:hint="eastAsia"/>
          <w:color w:val="000000"/>
          <w:kern w:val="0"/>
          <w:sz w:val="32"/>
          <w:szCs w:val="30"/>
          <w:lang w:bidi="en-US"/>
        </w:rPr>
        <w:t>是否存在质押或者其他受限情形；</w:t>
      </w:r>
    </w:p>
    <w:p w:rsidR="00DA5501" w:rsidRPr="00886796"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886796">
        <w:rPr>
          <w:rFonts w:ascii="仿宋" w:eastAsia="仿宋" w:hAnsi="仿宋" w:cs="Times New Roman" w:hint="eastAsia"/>
          <w:color w:val="000000"/>
          <w:kern w:val="0"/>
          <w:sz w:val="32"/>
          <w:szCs w:val="30"/>
          <w:lang w:bidi="en-US"/>
        </w:rPr>
        <w:t>（三）发行人及其重要子公司的主要资产是否已取得完备权属证书或者证明，是否存在重大权属纠纷</w:t>
      </w:r>
      <w:r w:rsidR="001231AC">
        <w:rPr>
          <w:rFonts w:ascii="仿宋" w:eastAsia="仿宋" w:hAnsi="仿宋" w:cs="Times New Roman" w:hint="eastAsia"/>
          <w:color w:val="000000"/>
          <w:kern w:val="0"/>
          <w:sz w:val="32"/>
          <w:szCs w:val="30"/>
          <w:lang w:bidi="en-US"/>
        </w:rPr>
        <w:t>，</w:t>
      </w:r>
      <w:r w:rsidRPr="00886796">
        <w:rPr>
          <w:rFonts w:ascii="仿宋" w:eastAsia="仿宋" w:hAnsi="仿宋" w:cs="Times New Roman" w:hint="eastAsia"/>
          <w:color w:val="000000"/>
          <w:kern w:val="0"/>
          <w:sz w:val="32"/>
          <w:szCs w:val="30"/>
          <w:lang w:bidi="en-US"/>
        </w:rPr>
        <w:t>是否存在租赁、抵押、质押或者其他受限情形；</w:t>
      </w:r>
    </w:p>
    <w:p w:rsidR="00DA5501" w:rsidRPr="00886796"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886796">
        <w:rPr>
          <w:rFonts w:ascii="仿宋" w:eastAsia="仿宋" w:hAnsi="仿宋" w:cs="Times New Roman" w:hint="eastAsia"/>
          <w:color w:val="000000"/>
          <w:kern w:val="0"/>
          <w:sz w:val="32"/>
          <w:szCs w:val="30"/>
          <w:lang w:bidi="en-US"/>
        </w:rPr>
        <w:t>（四）发行人是否存在媒体质疑的重大事项；</w:t>
      </w:r>
    </w:p>
    <w:p w:rsidR="00DA5501" w:rsidRPr="00886796"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886796">
        <w:rPr>
          <w:rFonts w:ascii="仿宋" w:eastAsia="仿宋" w:hAnsi="仿宋" w:cs="Times New Roman" w:hint="eastAsia"/>
          <w:color w:val="000000"/>
          <w:kern w:val="0"/>
          <w:sz w:val="32"/>
          <w:szCs w:val="30"/>
          <w:lang w:bidi="en-US"/>
        </w:rPr>
        <w:t>（五）发行人董事、监事和高级管理人员是否涉嫌重大违纪违法；</w:t>
      </w:r>
    </w:p>
    <w:p w:rsidR="00DA5501" w:rsidRPr="00886796"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886796">
        <w:rPr>
          <w:rFonts w:ascii="仿宋" w:eastAsia="仿宋" w:hAnsi="仿宋" w:cs="Times New Roman" w:hint="eastAsia"/>
          <w:bCs/>
          <w:color w:val="000000"/>
          <w:kern w:val="0"/>
          <w:sz w:val="32"/>
          <w:szCs w:val="30"/>
          <w:lang w:bidi="en-US"/>
        </w:rPr>
        <w:t>（六）</w:t>
      </w:r>
      <w:r w:rsidRPr="00886796">
        <w:rPr>
          <w:rFonts w:ascii="仿宋" w:eastAsia="仿宋" w:hAnsi="仿宋" w:cs="Times New Roman" w:hint="eastAsia"/>
          <w:color w:val="000000"/>
          <w:kern w:val="0"/>
          <w:sz w:val="32"/>
          <w:szCs w:val="30"/>
          <w:lang w:bidi="en-US"/>
        </w:rPr>
        <w:t>发行人是否存在因严重违法、失信行为被列为失信被执行人、失信生产经营单位或者其它失信单位，并被暂停或者限</w:t>
      </w:r>
      <w:r w:rsidRPr="00886796">
        <w:rPr>
          <w:rFonts w:ascii="仿宋" w:eastAsia="仿宋" w:hAnsi="仿宋" w:cs="Times New Roman" w:hint="eastAsia"/>
          <w:color w:val="000000"/>
          <w:kern w:val="0"/>
          <w:sz w:val="32"/>
          <w:szCs w:val="30"/>
          <w:lang w:bidi="en-US"/>
        </w:rPr>
        <w:lastRenderedPageBreak/>
        <w:t>制发行公司债券的情形。存在相关失信记录的，主承销商还应当就是否构成本次债券发行的实质障碍发表核查意见。</w:t>
      </w:r>
    </w:p>
    <w:p w:rsidR="00DA5501" w:rsidRPr="00166E29" w:rsidRDefault="00212B03">
      <w:pPr>
        <w:adjustRightInd w:val="0"/>
        <w:snapToGrid w:val="0"/>
        <w:spacing w:line="560" w:lineRule="exact"/>
        <w:ind w:firstLineChars="200" w:firstLine="643"/>
        <w:rPr>
          <w:rFonts w:ascii="仿宋" w:eastAsia="仿宋" w:hAnsi="仿宋"/>
          <w:kern w:val="0"/>
          <w:sz w:val="32"/>
          <w:lang w:bidi="en-US"/>
        </w:rPr>
      </w:pPr>
      <w:r w:rsidRPr="00886796">
        <w:rPr>
          <w:rFonts w:ascii="仿宋" w:eastAsia="仿宋" w:hAnsi="仿宋" w:cs="Times New Roman" w:hint="eastAsia"/>
          <w:b/>
          <w:bCs/>
          <w:color w:val="000000"/>
          <w:kern w:val="0"/>
          <w:sz w:val="32"/>
          <w:szCs w:val="30"/>
          <w:lang w:bidi="en-US"/>
        </w:rPr>
        <w:t>第八十</w:t>
      </w:r>
      <w:r>
        <w:rPr>
          <w:rFonts w:ascii="仿宋" w:eastAsia="仿宋" w:hAnsi="仿宋" w:cs="Times New Roman" w:hint="eastAsia"/>
          <w:b/>
          <w:bCs/>
          <w:color w:val="000000"/>
          <w:kern w:val="0"/>
          <w:sz w:val="32"/>
          <w:szCs w:val="30"/>
          <w:lang w:bidi="en-US"/>
        </w:rPr>
        <w:t>三</w:t>
      </w:r>
      <w:r w:rsidR="007C17D1" w:rsidRPr="00886796">
        <w:rPr>
          <w:rFonts w:ascii="仿宋" w:eastAsia="仿宋" w:hAnsi="仿宋" w:cs="Times New Roman" w:hint="eastAsia"/>
          <w:b/>
          <w:bCs/>
          <w:color w:val="000000"/>
          <w:kern w:val="0"/>
          <w:sz w:val="32"/>
          <w:szCs w:val="30"/>
          <w:lang w:bidi="en-US"/>
        </w:rPr>
        <w:t>条</w:t>
      </w:r>
      <w:r w:rsidR="007C17D1" w:rsidRPr="00886796">
        <w:rPr>
          <w:rFonts w:ascii="仿宋" w:eastAsia="仿宋" w:hAnsi="仿宋" w:cs="Times New Roman"/>
          <w:bCs/>
          <w:color w:val="000000"/>
          <w:kern w:val="0"/>
          <w:sz w:val="32"/>
          <w:szCs w:val="30"/>
          <w:lang w:bidi="en-US"/>
        </w:rPr>
        <w:t xml:space="preserve"> 主承销商应当核查</w:t>
      </w:r>
      <w:r w:rsidR="007C17D1" w:rsidRPr="00166E29">
        <w:rPr>
          <w:rFonts w:ascii="仿宋" w:eastAsia="仿宋" w:hAnsi="仿宋" w:hint="eastAsia"/>
          <w:kern w:val="0"/>
          <w:sz w:val="32"/>
          <w:lang w:bidi="en-US"/>
        </w:rPr>
        <w:t>本次发行相关决议是否合法有效，以及是否已履行规定的内部决策程序。</w:t>
      </w:r>
    </w:p>
    <w:p w:rsidR="00DA5501" w:rsidRPr="00886796" w:rsidRDefault="00212B03">
      <w:pPr>
        <w:adjustRightInd w:val="0"/>
        <w:snapToGrid w:val="0"/>
        <w:spacing w:line="560" w:lineRule="exact"/>
        <w:ind w:firstLineChars="200" w:firstLine="643"/>
        <w:rPr>
          <w:rFonts w:ascii="仿宋" w:eastAsia="仿宋" w:hAnsi="仿宋" w:cs="Times New Roman"/>
          <w:bCs/>
          <w:color w:val="000000"/>
          <w:kern w:val="0"/>
          <w:sz w:val="32"/>
          <w:szCs w:val="30"/>
          <w:lang w:bidi="en-US"/>
        </w:rPr>
      </w:pPr>
      <w:r w:rsidRPr="00166E29">
        <w:rPr>
          <w:rFonts w:ascii="仿宋" w:eastAsia="仿宋" w:hAnsi="仿宋" w:hint="eastAsia"/>
          <w:b/>
          <w:kern w:val="0"/>
          <w:sz w:val="32"/>
          <w:lang w:bidi="en-US"/>
        </w:rPr>
        <w:t>第八十</w:t>
      </w:r>
      <w:r>
        <w:rPr>
          <w:rFonts w:ascii="仿宋" w:eastAsia="仿宋" w:hAnsi="仿宋" w:hint="eastAsia"/>
          <w:b/>
          <w:kern w:val="0"/>
          <w:sz w:val="32"/>
          <w:lang w:bidi="en-US"/>
        </w:rPr>
        <w:t>四</w:t>
      </w:r>
      <w:r w:rsidR="007C17D1" w:rsidRPr="00166E29">
        <w:rPr>
          <w:rFonts w:ascii="仿宋" w:eastAsia="仿宋" w:hAnsi="仿宋" w:hint="eastAsia"/>
          <w:b/>
          <w:kern w:val="0"/>
          <w:sz w:val="32"/>
          <w:lang w:bidi="en-US"/>
        </w:rPr>
        <w:t>条</w:t>
      </w:r>
      <w:r w:rsidR="007C17D1" w:rsidRPr="00166E29">
        <w:rPr>
          <w:rFonts w:ascii="仿宋" w:eastAsia="仿宋" w:hAnsi="仿宋"/>
          <w:kern w:val="0"/>
          <w:sz w:val="32"/>
          <w:lang w:bidi="en-US"/>
        </w:rPr>
        <w:t xml:space="preserve"> </w:t>
      </w:r>
      <w:r w:rsidR="007C17D1" w:rsidRPr="00F02857">
        <w:rPr>
          <w:rFonts w:ascii="仿宋" w:eastAsia="仿宋" w:hAnsi="仿宋" w:cs="Times New Roman" w:hint="eastAsia"/>
          <w:bCs/>
          <w:color w:val="000000"/>
          <w:kern w:val="0"/>
          <w:sz w:val="32"/>
          <w:szCs w:val="30"/>
          <w:lang w:bidi="en-US"/>
        </w:rPr>
        <w:t>主承销商应当核查债券基本信息和发行安排。债券条款存在特殊设计的，应当核查是否符合相关规定，以及是否与发行人财务状况、偿债能力匹配。</w:t>
      </w:r>
    </w:p>
    <w:p w:rsidR="00DA5501" w:rsidRPr="00886796" w:rsidRDefault="00212B03">
      <w:pPr>
        <w:adjustRightInd w:val="0"/>
        <w:snapToGrid w:val="0"/>
        <w:spacing w:line="560" w:lineRule="exact"/>
        <w:ind w:firstLineChars="200" w:firstLine="643"/>
        <w:rPr>
          <w:rFonts w:ascii="仿宋" w:eastAsia="仿宋" w:hAnsi="仿宋" w:cs="Times New Roman"/>
          <w:color w:val="000000"/>
          <w:kern w:val="0"/>
          <w:sz w:val="32"/>
          <w:szCs w:val="30"/>
          <w:lang w:bidi="en-US"/>
        </w:rPr>
      </w:pPr>
      <w:r w:rsidRPr="00886796">
        <w:rPr>
          <w:rFonts w:ascii="仿宋" w:eastAsia="仿宋" w:hAnsi="仿宋" w:cs="Times New Roman" w:hint="eastAsia"/>
          <w:b/>
          <w:bCs/>
          <w:color w:val="000000"/>
          <w:kern w:val="0"/>
          <w:sz w:val="32"/>
          <w:szCs w:val="30"/>
          <w:lang w:bidi="en-US"/>
        </w:rPr>
        <w:t>第八十</w:t>
      </w:r>
      <w:r>
        <w:rPr>
          <w:rFonts w:ascii="仿宋" w:eastAsia="仿宋" w:hAnsi="仿宋" w:cs="Times New Roman" w:hint="eastAsia"/>
          <w:b/>
          <w:bCs/>
          <w:color w:val="000000"/>
          <w:kern w:val="0"/>
          <w:sz w:val="32"/>
          <w:szCs w:val="30"/>
          <w:lang w:bidi="en-US"/>
        </w:rPr>
        <w:t>五</w:t>
      </w:r>
      <w:r w:rsidR="007C17D1" w:rsidRPr="00886796">
        <w:rPr>
          <w:rFonts w:ascii="仿宋" w:eastAsia="仿宋" w:hAnsi="仿宋" w:cs="Times New Roman" w:hint="eastAsia"/>
          <w:b/>
          <w:bCs/>
          <w:color w:val="000000"/>
          <w:kern w:val="0"/>
          <w:sz w:val="32"/>
          <w:szCs w:val="30"/>
          <w:lang w:bidi="en-US"/>
        </w:rPr>
        <w:t>条</w:t>
      </w:r>
      <w:r w:rsidR="007C17D1" w:rsidRPr="00886796">
        <w:rPr>
          <w:rFonts w:ascii="仿宋" w:eastAsia="仿宋" w:hAnsi="仿宋" w:cs="Times New Roman"/>
          <w:bCs/>
          <w:color w:val="000000"/>
          <w:kern w:val="0"/>
          <w:sz w:val="32"/>
          <w:szCs w:val="30"/>
          <w:lang w:bidi="en-US"/>
        </w:rPr>
        <w:t xml:space="preserve"> 本次债券设置增信措施的，主承销商应当核查</w:t>
      </w:r>
      <w:r w:rsidR="007C17D1" w:rsidRPr="00886796">
        <w:rPr>
          <w:rFonts w:ascii="仿宋" w:eastAsia="仿宋" w:hAnsi="仿宋" w:cs="Times New Roman" w:hint="eastAsia"/>
          <w:color w:val="000000"/>
          <w:kern w:val="0"/>
          <w:sz w:val="32"/>
          <w:szCs w:val="30"/>
          <w:lang w:bidi="en-US"/>
        </w:rPr>
        <w:t>增信</w:t>
      </w:r>
      <w:r w:rsidR="00C0114C">
        <w:rPr>
          <w:rFonts w:ascii="仿宋" w:eastAsia="仿宋" w:hAnsi="仿宋" w:cs="Times New Roman" w:hint="eastAsia"/>
          <w:color w:val="000000"/>
          <w:kern w:val="0"/>
          <w:sz w:val="32"/>
          <w:szCs w:val="30"/>
          <w:lang w:bidi="en-US"/>
        </w:rPr>
        <w:t>主体</w:t>
      </w:r>
      <w:r w:rsidR="007C17D1" w:rsidRPr="00886796">
        <w:rPr>
          <w:rFonts w:ascii="仿宋" w:eastAsia="仿宋" w:hAnsi="仿宋" w:cs="Times New Roman" w:hint="eastAsia"/>
          <w:color w:val="000000"/>
          <w:kern w:val="0"/>
          <w:sz w:val="32"/>
          <w:szCs w:val="30"/>
          <w:lang w:bidi="en-US"/>
        </w:rPr>
        <w:t>是否具备主体资格</w:t>
      </w:r>
      <w:r w:rsidR="001231AC">
        <w:rPr>
          <w:rFonts w:ascii="仿宋" w:eastAsia="仿宋" w:hAnsi="仿宋" w:cs="Times New Roman" w:hint="eastAsia"/>
          <w:color w:val="000000"/>
          <w:kern w:val="0"/>
          <w:sz w:val="32"/>
          <w:szCs w:val="30"/>
          <w:lang w:bidi="en-US"/>
        </w:rPr>
        <w:t>和</w:t>
      </w:r>
      <w:r w:rsidR="007C17D1" w:rsidRPr="00886796">
        <w:rPr>
          <w:rFonts w:ascii="仿宋" w:eastAsia="仿宋" w:hAnsi="仿宋" w:cs="Times New Roman" w:hint="eastAsia"/>
          <w:color w:val="000000"/>
          <w:kern w:val="0"/>
          <w:sz w:val="32"/>
          <w:szCs w:val="30"/>
          <w:lang w:bidi="en-US"/>
        </w:rPr>
        <w:t>内部</w:t>
      </w:r>
      <w:r w:rsidR="001B4674">
        <w:rPr>
          <w:rFonts w:ascii="仿宋" w:eastAsia="仿宋" w:hAnsi="仿宋" w:cs="Times New Roman" w:hint="eastAsia"/>
          <w:color w:val="000000"/>
          <w:kern w:val="0"/>
          <w:sz w:val="32"/>
          <w:szCs w:val="30"/>
          <w:lang w:bidi="en-US"/>
        </w:rPr>
        <w:t>决策程序履行</w:t>
      </w:r>
      <w:r w:rsidR="007C17D1" w:rsidRPr="00886796">
        <w:rPr>
          <w:rFonts w:ascii="仿宋" w:eastAsia="仿宋" w:hAnsi="仿宋" w:cs="Times New Roman" w:hint="eastAsia"/>
          <w:color w:val="000000"/>
          <w:kern w:val="0"/>
          <w:sz w:val="32"/>
          <w:szCs w:val="30"/>
          <w:lang w:bidi="en-US"/>
        </w:rPr>
        <w:t>情况、具体增信机制、增信措施应当办理的法律程序、执行风险以及合法有效性等。</w:t>
      </w:r>
    </w:p>
    <w:p w:rsidR="00DA5501" w:rsidRPr="00886796" w:rsidRDefault="00212B03">
      <w:pPr>
        <w:adjustRightInd w:val="0"/>
        <w:snapToGrid w:val="0"/>
        <w:spacing w:line="560" w:lineRule="exact"/>
        <w:ind w:firstLineChars="200" w:firstLine="643"/>
        <w:rPr>
          <w:rFonts w:ascii="仿宋" w:eastAsia="仿宋" w:hAnsi="仿宋" w:cs="Times New Roman"/>
          <w:color w:val="000000"/>
          <w:kern w:val="0"/>
          <w:sz w:val="32"/>
          <w:szCs w:val="30"/>
          <w:lang w:bidi="en-US"/>
        </w:rPr>
      </w:pPr>
      <w:r w:rsidRPr="00886796">
        <w:rPr>
          <w:rFonts w:ascii="仿宋" w:eastAsia="仿宋" w:hAnsi="仿宋" w:cs="Times New Roman" w:hint="eastAsia"/>
          <w:b/>
          <w:color w:val="000000"/>
          <w:kern w:val="0"/>
          <w:sz w:val="32"/>
          <w:szCs w:val="30"/>
          <w:lang w:bidi="en-US"/>
        </w:rPr>
        <w:t>第八十</w:t>
      </w:r>
      <w:r>
        <w:rPr>
          <w:rFonts w:ascii="仿宋" w:eastAsia="仿宋" w:hAnsi="仿宋" w:cs="Times New Roman" w:hint="eastAsia"/>
          <w:b/>
          <w:color w:val="000000"/>
          <w:kern w:val="0"/>
          <w:sz w:val="32"/>
          <w:szCs w:val="30"/>
          <w:lang w:bidi="en-US"/>
        </w:rPr>
        <w:t>六</w:t>
      </w:r>
      <w:r w:rsidR="007C17D1" w:rsidRPr="00886796">
        <w:rPr>
          <w:rFonts w:ascii="仿宋" w:eastAsia="仿宋" w:hAnsi="仿宋" w:cs="Times New Roman" w:hint="eastAsia"/>
          <w:b/>
          <w:color w:val="000000"/>
          <w:kern w:val="0"/>
          <w:sz w:val="32"/>
          <w:szCs w:val="30"/>
          <w:lang w:bidi="en-US"/>
        </w:rPr>
        <w:t>条</w:t>
      </w:r>
      <w:r w:rsidR="007C17D1" w:rsidRPr="00886796">
        <w:rPr>
          <w:rFonts w:ascii="仿宋" w:eastAsia="仿宋" w:hAnsi="仿宋" w:cs="Times New Roman"/>
          <w:color w:val="000000"/>
          <w:kern w:val="0"/>
          <w:sz w:val="32"/>
          <w:szCs w:val="30"/>
          <w:lang w:bidi="en-US"/>
        </w:rPr>
        <w:t xml:space="preserve"> 主承销商应当对本次债券发行规模和偿债计划进行简要测算，分析并核查发行规模和偿债计划的合理性。主承销商应当核查募集资金用途是否合法合</w:t>
      </w:r>
      <w:r w:rsidR="007C17D1" w:rsidRPr="00886796">
        <w:rPr>
          <w:rFonts w:ascii="仿宋" w:eastAsia="仿宋" w:hAnsi="仿宋" w:cs="Times New Roman" w:hint="eastAsia"/>
          <w:color w:val="000000"/>
          <w:kern w:val="0"/>
          <w:sz w:val="32"/>
          <w:szCs w:val="30"/>
          <w:lang w:bidi="en-US"/>
        </w:rPr>
        <w:t>规。</w:t>
      </w:r>
    </w:p>
    <w:p w:rsidR="00DA5501" w:rsidRPr="00886796" w:rsidRDefault="007C17D1" w:rsidP="000E6A62">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886796">
        <w:rPr>
          <w:rFonts w:ascii="仿宋" w:eastAsia="仿宋" w:hAnsi="仿宋" w:cs="Times New Roman" w:hint="eastAsia"/>
          <w:color w:val="000000"/>
          <w:kern w:val="0"/>
          <w:sz w:val="32"/>
          <w:szCs w:val="30"/>
          <w:lang w:bidi="en-US"/>
        </w:rPr>
        <w:t>金融企业发行公司债券，主承销商应当核查金融监管机构是否对其发行公司债券规模有核定监管指标规定，并明确发表意见。</w:t>
      </w:r>
    </w:p>
    <w:p w:rsidR="00DA5501" w:rsidRPr="00166E29" w:rsidRDefault="00212B03">
      <w:pPr>
        <w:spacing w:line="560" w:lineRule="exact"/>
        <w:ind w:firstLineChars="200" w:firstLine="643"/>
        <w:rPr>
          <w:rFonts w:ascii="仿宋" w:eastAsia="仿宋" w:hAnsi="仿宋"/>
          <w:kern w:val="0"/>
          <w:sz w:val="32"/>
          <w:lang w:bidi="en-US"/>
        </w:rPr>
      </w:pPr>
      <w:r w:rsidRPr="00886796">
        <w:rPr>
          <w:rFonts w:ascii="仿宋" w:eastAsia="仿宋" w:hAnsi="仿宋" w:cs="Times New Roman" w:hint="eastAsia"/>
          <w:b/>
          <w:color w:val="000000"/>
          <w:kern w:val="0"/>
          <w:sz w:val="32"/>
          <w:szCs w:val="30"/>
          <w:lang w:bidi="en-US"/>
        </w:rPr>
        <w:t>第八十</w:t>
      </w:r>
      <w:r>
        <w:rPr>
          <w:rFonts w:ascii="仿宋" w:eastAsia="仿宋" w:hAnsi="仿宋" w:cs="Times New Roman" w:hint="eastAsia"/>
          <w:b/>
          <w:color w:val="000000"/>
          <w:kern w:val="0"/>
          <w:sz w:val="32"/>
          <w:szCs w:val="30"/>
          <w:lang w:bidi="en-US"/>
        </w:rPr>
        <w:t>七</w:t>
      </w:r>
      <w:r w:rsidR="007C17D1" w:rsidRPr="00886796">
        <w:rPr>
          <w:rFonts w:ascii="仿宋" w:eastAsia="仿宋" w:hAnsi="仿宋" w:cs="Times New Roman" w:hint="eastAsia"/>
          <w:b/>
          <w:color w:val="000000"/>
          <w:kern w:val="0"/>
          <w:sz w:val="32"/>
          <w:szCs w:val="30"/>
          <w:lang w:bidi="en-US"/>
        </w:rPr>
        <w:t>条</w:t>
      </w:r>
      <w:r w:rsidR="007C17D1" w:rsidRPr="00886796">
        <w:rPr>
          <w:rFonts w:ascii="仿宋" w:eastAsia="仿宋" w:hAnsi="仿宋" w:cs="Times New Roman"/>
          <w:color w:val="000000"/>
          <w:kern w:val="0"/>
          <w:sz w:val="32"/>
          <w:szCs w:val="30"/>
          <w:lang w:bidi="en-US"/>
        </w:rPr>
        <w:t xml:space="preserve"> </w:t>
      </w:r>
      <w:r w:rsidR="007C17D1" w:rsidRPr="00166E29">
        <w:rPr>
          <w:rFonts w:ascii="仿宋" w:eastAsia="仿宋" w:hAnsi="仿宋" w:hint="eastAsia"/>
          <w:kern w:val="0"/>
          <w:sz w:val="32"/>
          <w:lang w:bidi="en-US"/>
        </w:rPr>
        <w:t>主承销商应当对发行人是否符合公开发行公司债券条件逐一</w:t>
      </w:r>
      <w:r w:rsidR="00D23870" w:rsidRPr="00166E29">
        <w:rPr>
          <w:rFonts w:ascii="仿宋" w:eastAsia="仿宋" w:hAnsi="仿宋" w:hint="eastAsia"/>
          <w:kern w:val="0"/>
          <w:sz w:val="32"/>
          <w:lang w:bidi="en-US"/>
        </w:rPr>
        <w:t>进行</w:t>
      </w:r>
      <w:r w:rsidR="007C17D1" w:rsidRPr="00166E29">
        <w:rPr>
          <w:rFonts w:ascii="仿宋" w:eastAsia="仿宋" w:hAnsi="仿宋" w:hint="eastAsia"/>
          <w:kern w:val="0"/>
          <w:sz w:val="32"/>
          <w:lang w:bidi="en-US"/>
        </w:rPr>
        <w:t>核查，并发表明确意见：</w:t>
      </w:r>
    </w:p>
    <w:p w:rsidR="00DA5501" w:rsidRPr="00166E29" w:rsidRDefault="007C17D1">
      <w:pPr>
        <w:spacing w:line="560" w:lineRule="exact"/>
        <w:ind w:firstLineChars="200" w:firstLine="640"/>
        <w:rPr>
          <w:rFonts w:ascii="仿宋" w:eastAsia="仿宋" w:hAnsi="仿宋"/>
          <w:sz w:val="32"/>
        </w:rPr>
      </w:pPr>
      <w:r w:rsidRPr="00166E29">
        <w:rPr>
          <w:rFonts w:ascii="仿宋" w:eastAsia="仿宋" w:hAnsi="仿宋" w:hint="eastAsia"/>
          <w:sz w:val="32"/>
        </w:rPr>
        <w:t>（一）具备健全且运行良好的组织机构；</w:t>
      </w:r>
    </w:p>
    <w:p w:rsidR="00DA5501" w:rsidRPr="00166E29" w:rsidRDefault="007C17D1">
      <w:pPr>
        <w:spacing w:line="560" w:lineRule="exact"/>
        <w:ind w:firstLineChars="200" w:firstLine="640"/>
        <w:rPr>
          <w:rFonts w:ascii="仿宋" w:eastAsia="仿宋" w:hAnsi="仿宋"/>
          <w:b/>
          <w:sz w:val="32"/>
        </w:rPr>
      </w:pPr>
      <w:r w:rsidRPr="00166E29">
        <w:rPr>
          <w:rFonts w:ascii="仿宋" w:eastAsia="仿宋" w:hAnsi="仿宋" w:hint="eastAsia"/>
          <w:sz w:val="32"/>
        </w:rPr>
        <w:t>（二）最近三年平均可分配利润足以支付公司债券一年的利息；</w:t>
      </w:r>
    </w:p>
    <w:p w:rsidR="00DA5501" w:rsidRPr="00166E29" w:rsidRDefault="007C17D1">
      <w:pPr>
        <w:spacing w:line="560" w:lineRule="exact"/>
        <w:ind w:firstLineChars="200" w:firstLine="640"/>
        <w:rPr>
          <w:rFonts w:ascii="仿宋" w:eastAsia="仿宋" w:hAnsi="仿宋"/>
          <w:sz w:val="32"/>
        </w:rPr>
      </w:pPr>
      <w:r w:rsidRPr="00166E29">
        <w:rPr>
          <w:rFonts w:ascii="仿宋" w:eastAsia="仿宋" w:hAnsi="仿宋" w:hint="eastAsia"/>
          <w:sz w:val="32"/>
        </w:rPr>
        <w:t>（三）具有合理的资产负债结构和正常的现金流量；</w:t>
      </w:r>
    </w:p>
    <w:p w:rsidR="00DA5501" w:rsidRPr="00166E29" w:rsidRDefault="007C17D1">
      <w:pPr>
        <w:spacing w:line="560" w:lineRule="exact"/>
        <w:ind w:firstLineChars="200" w:firstLine="640"/>
        <w:rPr>
          <w:rFonts w:ascii="仿宋" w:eastAsia="仿宋" w:hAnsi="仿宋"/>
          <w:sz w:val="32"/>
        </w:rPr>
      </w:pPr>
      <w:r w:rsidRPr="00166E29">
        <w:rPr>
          <w:rFonts w:ascii="仿宋" w:eastAsia="仿宋" w:hAnsi="仿宋" w:hint="eastAsia"/>
          <w:sz w:val="32"/>
        </w:rPr>
        <w:lastRenderedPageBreak/>
        <w:t>（四）国务院规定的其他条件。</w:t>
      </w:r>
    </w:p>
    <w:p w:rsidR="00DA5501" w:rsidRPr="00166E29" w:rsidRDefault="007C17D1">
      <w:pPr>
        <w:spacing w:line="560" w:lineRule="exact"/>
        <w:ind w:firstLineChars="200" w:firstLine="640"/>
        <w:rPr>
          <w:rFonts w:ascii="仿宋" w:eastAsia="仿宋" w:hAnsi="仿宋"/>
          <w:sz w:val="32"/>
        </w:rPr>
      </w:pPr>
      <w:r w:rsidRPr="00166E29">
        <w:rPr>
          <w:rFonts w:ascii="仿宋" w:eastAsia="仿宋" w:hAnsi="仿宋" w:hint="eastAsia"/>
          <w:sz w:val="32"/>
        </w:rPr>
        <w:t>发行人需要编制合并财务报表的，前款所称“可分配利润”指合并报表归属于母公司所有者的净利润。</w:t>
      </w:r>
    </w:p>
    <w:p w:rsidR="00DA5501" w:rsidRPr="00F02857"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166E29">
        <w:rPr>
          <w:rFonts w:ascii="仿宋" w:eastAsia="仿宋" w:hAnsi="仿宋" w:hint="eastAsia"/>
          <w:sz w:val="32"/>
        </w:rPr>
        <w:t>同时申报公开发行不同品种公司债券的发行人，最近三年平均可分配利润应当足以支付所有在审公开发行公司债券一年的利息。</w:t>
      </w:r>
    </w:p>
    <w:p w:rsidR="00DA5501" w:rsidRPr="00166E29" w:rsidRDefault="00212B03">
      <w:pPr>
        <w:spacing w:line="560" w:lineRule="exact"/>
        <w:ind w:firstLineChars="200" w:firstLine="643"/>
        <w:rPr>
          <w:rFonts w:ascii="仿宋" w:eastAsia="仿宋" w:hAnsi="仿宋"/>
          <w:sz w:val="32"/>
        </w:rPr>
      </w:pPr>
      <w:r w:rsidRPr="00F02857">
        <w:rPr>
          <w:rFonts w:ascii="仿宋" w:eastAsia="仿宋" w:hAnsi="仿宋" w:cs="Times New Roman" w:hint="eastAsia"/>
          <w:b/>
          <w:color w:val="000000"/>
          <w:kern w:val="0"/>
          <w:sz w:val="32"/>
          <w:szCs w:val="30"/>
          <w:lang w:bidi="en-US"/>
        </w:rPr>
        <w:t>第八十</w:t>
      </w:r>
      <w:r>
        <w:rPr>
          <w:rFonts w:ascii="仿宋" w:eastAsia="仿宋" w:hAnsi="仿宋" w:cs="Times New Roman" w:hint="eastAsia"/>
          <w:b/>
          <w:color w:val="000000"/>
          <w:kern w:val="0"/>
          <w:sz w:val="32"/>
          <w:szCs w:val="30"/>
          <w:lang w:bidi="en-US"/>
        </w:rPr>
        <w:t>八</w:t>
      </w:r>
      <w:r w:rsidR="007C17D1" w:rsidRPr="00F02857">
        <w:rPr>
          <w:rFonts w:ascii="仿宋" w:eastAsia="仿宋" w:hAnsi="仿宋" w:cs="Times New Roman" w:hint="eastAsia"/>
          <w:b/>
          <w:color w:val="000000"/>
          <w:kern w:val="0"/>
          <w:sz w:val="32"/>
          <w:szCs w:val="30"/>
          <w:lang w:bidi="en-US"/>
        </w:rPr>
        <w:t>条</w:t>
      </w:r>
      <w:r w:rsidR="007C17D1" w:rsidRPr="00F02857">
        <w:rPr>
          <w:rFonts w:ascii="仿宋" w:eastAsia="仿宋" w:hAnsi="仿宋" w:cs="Times New Roman" w:hint="eastAsia"/>
          <w:color w:val="000000"/>
          <w:kern w:val="0"/>
          <w:sz w:val="32"/>
          <w:szCs w:val="30"/>
          <w:lang w:bidi="en-US"/>
        </w:rPr>
        <w:t xml:space="preserve"> </w:t>
      </w:r>
      <w:r w:rsidR="007C17D1" w:rsidRPr="00166E29">
        <w:rPr>
          <w:rFonts w:ascii="仿宋" w:eastAsia="仿宋" w:hAnsi="仿宋" w:hint="eastAsia"/>
          <w:kern w:val="0"/>
          <w:sz w:val="32"/>
          <w:lang w:bidi="en-US"/>
        </w:rPr>
        <w:t>主承销商应当对发行人是否存在禁止公开发行公司债券的情形</w:t>
      </w:r>
      <w:r w:rsidR="00D23870" w:rsidRPr="00166E29">
        <w:rPr>
          <w:rFonts w:ascii="仿宋" w:eastAsia="仿宋" w:hAnsi="仿宋" w:hint="eastAsia"/>
          <w:kern w:val="0"/>
          <w:sz w:val="32"/>
          <w:lang w:bidi="en-US"/>
        </w:rPr>
        <w:t>逐一</w:t>
      </w:r>
      <w:r w:rsidR="007C17D1" w:rsidRPr="00166E29">
        <w:rPr>
          <w:rFonts w:ascii="仿宋" w:eastAsia="仿宋" w:hAnsi="仿宋" w:hint="eastAsia"/>
          <w:kern w:val="0"/>
          <w:sz w:val="32"/>
          <w:lang w:bidi="en-US"/>
        </w:rPr>
        <w:t>进行核查，并发表明确意见：</w:t>
      </w:r>
    </w:p>
    <w:p w:rsidR="00DA5501" w:rsidRPr="00166E29" w:rsidRDefault="007C17D1">
      <w:pPr>
        <w:spacing w:line="560" w:lineRule="exact"/>
        <w:ind w:firstLineChars="200" w:firstLine="640"/>
        <w:rPr>
          <w:rFonts w:ascii="仿宋" w:eastAsia="仿宋" w:hAnsi="仿宋"/>
          <w:sz w:val="32"/>
        </w:rPr>
      </w:pPr>
      <w:r w:rsidRPr="00166E29">
        <w:rPr>
          <w:rFonts w:ascii="仿宋" w:eastAsia="仿宋" w:hAnsi="仿宋" w:hint="eastAsia"/>
          <w:sz w:val="32"/>
        </w:rPr>
        <w:t>（一）对已公开发行的公司债券或者其他债务有违约或者延迟支付本息的事实，仍处于继续状态；</w:t>
      </w:r>
    </w:p>
    <w:p w:rsidR="00DA5501" w:rsidRPr="00166E29" w:rsidRDefault="007C17D1">
      <w:pPr>
        <w:numPr>
          <w:ilvl w:val="0"/>
          <w:numId w:val="5"/>
        </w:numPr>
        <w:adjustRightInd w:val="0"/>
        <w:snapToGrid w:val="0"/>
        <w:spacing w:line="560" w:lineRule="exact"/>
        <w:ind w:firstLineChars="200" w:firstLine="640"/>
        <w:rPr>
          <w:rFonts w:ascii="仿宋" w:eastAsia="仿宋" w:hAnsi="仿宋"/>
          <w:sz w:val="32"/>
        </w:rPr>
      </w:pPr>
      <w:r w:rsidRPr="00166E29">
        <w:rPr>
          <w:rFonts w:ascii="仿宋" w:eastAsia="仿宋" w:hAnsi="仿宋" w:hint="eastAsia"/>
          <w:sz w:val="32"/>
        </w:rPr>
        <w:t>违反《证券法》规定，改变公开发行公司债券所募资金用途。</w:t>
      </w:r>
    </w:p>
    <w:p w:rsidR="00DA5501" w:rsidRPr="00166E29" w:rsidRDefault="007C17D1">
      <w:pPr>
        <w:spacing w:line="560" w:lineRule="exact"/>
        <w:ind w:firstLineChars="200" w:firstLine="640"/>
        <w:rPr>
          <w:rFonts w:ascii="仿宋" w:eastAsia="仿宋" w:hAnsi="仿宋"/>
          <w:sz w:val="32"/>
        </w:rPr>
      </w:pPr>
      <w:r w:rsidRPr="00166E29">
        <w:rPr>
          <w:rFonts w:ascii="仿宋" w:eastAsia="仿宋" w:hAnsi="仿宋" w:hint="eastAsia"/>
          <w:sz w:val="32"/>
        </w:rPr>
        <w:t>前款所称“其他债务”包括除公开发行公司债券外的其他公司信用类债券以及借贷债务，不包括日常生产经营中的应付账款等负债。</w:t>
      </w:r>
    </w:p>
    <w:p w:rsidR="00DA5501" w:rsidRPr="00166E29" w:rsidRDefault="00212B03">
      <w:pPr>
        <w:spacing w:line="560" w:lineRule="exact"/>
        <w:ind w:firstLineChars="200" w:firstLine="643"/>
        <w:rPr>
          <w:rFonts w:ascii="仿宋" w:eastAsia="仿宋" w:hAnsi="仿宋"/>
          <w:sz w:val="32"/>
        </w:rPr>
      </w:pPr>
      <w:r w:rsidRPr="00F02857">
        <w:rPr>
          <w:rFonts w:ascii="仿宋" w:eastAsia="仿宋" w:hAnsi="仿宋" w:cs="Times New Roman" w:hint="eastAsia"/>
          <w:b/>
          <w:color w:val="000000"/>
          <w:kern w:val="0"/>
          <w:sz w:val="32"/>
          <w:szCs w:val="30"/>
          <w:lang w:bidi="en-US"/>
        </w:rPr>
        <w:t>第</w:t>
      </w:r>
      <w:r>
        <w:rPr>
          <w:rFonts w:ascii="仿宋" w:eastAsia="仿宋" w:hAnsi="仿宋" w:cs="Times New Roman" w:hint="eastAsia"/>
          <w:b/>
          <w:color w:val="000000"/>
          <w:kern w:val="0"/>
          <w:sz w:val="32"/>
          <w:szCs w:val="30"/>
          <w:lang w:bidi="en-US"/>
        </w:rPr>
        <w:t>八十九</w:t>
      </w:r>
      <w:r w:rsidR="007C17D1" w:rsidRPr="00F02857">
        <w:rPr>
          <w:rFonts w:ascii="仿宋" w:eastAsia="仿宋" w:hAnsi="仿宋" w:cs="Times New Roman" w:hint="eastAsia"/>
          <w:b/>
          <w:color w:val="000000"/>
          <w:kern w:val="0"/>
          <w:sz w:val="32"/>
          <w:szCs w:val="30"/>
          <w:lang w:bidi="en-US"/>
        </w:rPr>
        <w:t>条</w:t>
      </w:r>
      <w:r w:rsidR="007C17D1" w:rsidRPr="00F02857">
        <w:rPr>
          <w:rFonts w:ascii="仿宋" w:eastAsia="仿宋" w:hAnsi="仿宋" w:cs="Times New Roman" w:hint="eastAsia"/>
          <w:color w:val="000000"/>
          <w:kern w:val="0"/>
          <w:sz w:val="32"/>
          <w:szCs w:val="30"/>
          <w:lang w:bidi="en-US"/>
        </w:rPr>
        <w:t xml:space="preserve"> </w:t>
      </w:r>
      <w:r w:rsidR="007C17D1" w:rsidRPr="00166E29">
        <w:rPr>
          <w:rFonts w:ascii="仿宋" w:eastAsia="仿宋" w:hAnsi="仿宋" w:hint="eastAsia"/>
          <w:sz w:val="32"/>
        </w:rPr>
        <w:t>存在以下情形的，构成本指引</w:t>
      </w:r>
      <w:r w:rsidR="001231AC" w:rsidRPr="00166E29">
        <w:rPr>
          <w:rFonts w:ascii="仿宋" w:eastAsia="仿宋" w:hAnsi="仿宋" w:hint="eastAsia"/>
          <w:sz w:val="32"/>
        </w:rPr>
        <w:t>第八十</w:t>
      </w:r>
      <w:r w:rsidR="001231AC">
        <w:rPr>
          <w:rFonts w:ascii="仿宋" w:eastAsia="仿宋" w:hAnsi="仿宋" w:hint="eastAsia"/>
          <w:sz w:val="32"/>
        </w:rPr>
        <w:t>八</w:t>
      </w:r>
      <w:r w:rsidR="007C17D1" w:rsidRPr="00166E29">
        <w:rPr>
          <w:rFonts w:ascii="仿宋" w:eastAsia="仿宋" w:hAnsi="仿宋" w:hint="eastAsia"/>
          <w:sz w:val="32"/>
        </w:rPr>
        <w:t>条所称“违约或者延迟支付本息</w:t>
      </w:r>
      <w:r w:rsidR="001231AC">
        <w:rPr>
          <w:rFonts w:ascii="仿宋" w:eastAsia="仿宋" w:hAnsi="仿宋" w:hint="eastAsia"/>
          <w:sz w:val="32"/>
        </w:rPr>
        <w:t>，</w:t>
      </w:r>
      <w:r w:rsidR="007C17D1" w:rsidRPr="00166E29">
        <w:rPr>
          <w:rFonts w:ascii="仿宋" w:eastAsia="仿宋" w:hAnsi="仿宋" w:hint="eastAsia"/>
          <w:sz w:val="32"/>
        </w:rPr>
        <w:t>仍处于继续状态”：</w:t>
      </w:r>
    </w:p>
    <w:p w:rsidR="00DA5501" w:rsidRPr="00166E29" w:rsidRDefault="007C17D1">
      <w:pPr>
        <w:spacing w:line="560" w:lineRule="exact"/>
        <w:ind w:firstLineChars="200" w:firstLine="640"/>
        <w:rPr>
          <w:rFonts w:ascii="仿宋" w:eastAsia="仿宋" w:hAnsi="仿宋"/>
          <w:sz w:val="32"/>
        </w:rPr>
      </w:pPr>
      <w:r w:rsidRPr="00166E29">
        <w:rPr>
          <w:rFonts w:ascii="仿宋" w:eastAsia="仿宋" w:hAnsi="仿宋" w:hint="eastAsia"/>
          <w:sz w:val="32"/>
        </w:rPr>
        <w:t>（一）发行人、相关信息披露义务人或者相关市场已公告违约或者延迟支付本息，且尚未支付；</w:t>
      </w:r>
    </w:p>
    <w:p w:rsidR="00DA5501" w:rsidRPr="00166E29" w:rsidRDefault="007C17D1">
      <w:pPr>
        <w:spacing w:line="560" w:lineRule="exact"/>
        <w:ind w:firstLineChars="200" w:firstLine="640"/>
        <w:rPr>
          <w:rFonts w:ascii="仿宋" w:eastAsia="仿宋" w:hAnsi="仿宋"/>
          <w:sz w:val="32"/>
        </w:rPr>
      </w:pPr>
      <w:r w:rsidRPr="00166E29">
        <w:rPr>
          <w:rFonts w:ascii="仿宋" w:eastAsia="仿宋" w:hAnsi="仿宋" w:hint="eastAsia"/>
          <w:sz w:val="32"/>
        </w:rPr>
        <w:t>（二）央行征信中心出具的发行人信用报告中存在逾期贷款或者其他违约记录，且尚未偿付；</w:t>
      </w:r>
    </w:p>
    <w:p w:rsidR="00DA5501" w:rsidRPr="00166E29" w:rsidRDefault="007C17D1">
      <w:pPr>
        <w:spacing w:line="560" w:lineRule="exact"/>
        <w:ind w:firstLineChars="200" w:firstLine="640"/>
        <w:rPr>
          <w:rFonts w:ascii="仿宋" w:eastAsia="仿宋" w:hAnsi="仿宋"/>
          <w:sz w:val="32"/>
        </w:rPr>
      </w:pPr>
      <w:r w:rsidRPr="00166E29">
        <w:rPr>
          <w:rFonts w:ascii="仿宋" w:eastAsia="仿宋" w:hAnsi="仿宋" w:hint="eastAsia"/>
          <w:sz w:val="32"/>
        </w:rPr>
        <w:t>（三）人民法院关于发行人应偿付债券或者借贷债务的裁定</w:t>
      </w:r>
      <w:r w:rsidRPr="00166E29">
        <w:rPr>
          <w:rFonts w:ascii="仿宋" w:eastAsia="仿宋" w:hAnsi="仿宋" w:hint="eastAsia"/>
          <w:sz w:val="32"/>
        </w:rPr>
        <w:lastRenderedPageBreak/>
        <w:t>或者判决已生效且尚未执行完毕。</w:t>
      </w:r>
    </w:p>
    <w:p w:rsidR="00DA5501" w:rsidRPr="00166E29" w:rsidRDefault="007C17D1">
      <w:pPr>
        <w:spacing w:line="560" w:lineRule="exact"/>
        <w:ind w:firstLineChars="200" w:firstLine="643"/>
        <w:rPr>
          <w:rFonts w:ascii="仿宋" w:eastAsia="仿宋" w:hAnsi="仿宋"/>
          <w:sz w:val="32"/>
        </w:rPr>
      </w:pPr>
      <w:r w:rsidRPr="00F02857">
        <w:rPr>
          <w:rFonts w:ascii="仿宋" w:eastAsia="仿宋" w:hAnsi="仿宋" w:cs="Times New Roman" w:hint="eastAsia"/>
          <w:b/>
          <w:color w:val="000000"/>
          <w:kern w:val="0"/>
          <w:sz w:val="32"/>
          <w:szCs w:val="30"/>
          <w:lang w:bidi="en-US"/>
        </w:rPr>
        <w:t>第九十条</w:t>
      </w:r>
      <w:r w:rsidRPr="00F02857">
        <w:rPr>
          <w:rFonts w:ascii="仿宋" w:eastAsia="仿宋" w:hAnsi="仿宋" w:cs="Times New Roman" w:hint="eastAsia"/>
          <w:color w:val="000000"/>
          <w:kern w:val="0"/>
          <w:sz w:val="32"/>
          <w:szCs w:val="30"/>
          <w:lang w:bidi="en-US"/>
        </w:rPr>
        <w:t xml:space="preserve"> </w:t>
      </w:r>
      <w:r w:rsidRPr="00166E29">
        <w:rPr>
          <w:rFonts w:ascii="仿宋" w:eastAsia="仿宋" w:hAnsi="仿宋" w:hint="eastAsia"/>
          <w:sz w:val="32"/>
        </w:rPr>
        <w:t>存在以下情形的，主承销商应当进一步核查并就是否构成本指引</w:t>
      </w:r>
      <w:r w:rsidR="00973A04" w:rsidRPr="00166E29">
        <w:rPr>
          <w:rFonts w:ascii="仿宋" w:eastAsia="仿宋" w:hAnsi="仿宋" w:hint="eastAsia"/>
          <w:sz w:val="32"/>
        </w:rPr>
        <w:t>第八十</w:t>
      </w:r>
      <w:r w:rsidR="00973A04">
        <w:rPr>
          <w:rFonts w:ascii="仿宋" w:eastAsia="仿宋" w:hAnsi="仿宋" w:hint="eastAsia"/>
          <w:sz w:val="32"/>
        </w:rPr>
        <w:t>八</w:t>
      </w:r>
      <w:r w:rsidRPr="00166E29">
        <w:rPr>
          <w:rFonts w:ascii="仿宋" w:eastAsia="仿宋" w:hAnsi="仿宋" w:hint="eastAsia"/>
          <w:sz w:val="32"/>
        </w:rPr>
        <w:t>条所称“违约或者延迟支付本息</w:t>
      </w:r>
      <w:r w:rsidR="00973A04">
        <w:rPr>
          <w:rFonts w:ascii="仿宋" w:eastAsia="仿宋" w:hAnsi="仿宋" w:hint="eastAsia"/>
          <w:sz w:val="32"/>
        </w:rPr>
        <w:t>，</w:t>
      </w:r>
      <w:r w:rsidRPr="00166E29">
        <w:rPr>
          <w:rFonts w:ascii="仿宋" w:eastAsia="仿宋" w:hAnsi="仿宋" w:hint="eastAsia"/>
          <w:sz w:val="32"/>
        </w:rPr>
        <w:t>仍处于继续状态”发表明确意见：</w:t>
      </w:r>
    </w:p>
    <w:p w:rsidR="00DA5501" w:rsidRPr="00166E29" w:rsidRDefault="007C17D1">
      <w:pPr>
        <w:spacing w:line="560" w:lineRule="exact"/>
        <w:ind w:firstLineChars="200" w:firstLine="640"/>
        <w:rPr>
          <w:rFonts w:ascii="仿宋" w:eastAsia="仿宋" w:hAnsi="仿宋"/>
          <w:sz w:val="32"/>
        </w:rPr>
      </w:pPr>
      <w:r w:rsidRPr="00166E29">
        <w:rPr>
          <w:rFonts w:ascii="仿宋" w:eastAsia="仿宋" w:hAnsi="仿宋" w:hint="eastAsia"/>
          <w:sz w:val="32"/>
        </w:rPr>
        <w:t>（一）债务存在未决纠纷；</w:t>
      </w:r>
    </w:p>
    <w:p w:rsidR="00DA5501" w:rsidRPr="00166E29" w:rsidRDefault="007C17D1">
      <w:pPr>
        <w:spacing w:line="560" w:lineRule="exact"/>
        <w:ind w:firstLineChars="200" w:firstLine="640"/>
        <w:rPr>
          <w:rFonts w:ascii="仿宋" w:eastAsia="仿宋" w:hAnsi="仿宋"/>
          <w:sz w:val="32"/>
        </w:rPr>
      </w:pPr>
      <w:r w:rsidRPr="00166E29">
        <w:rPr>
          <w:rFonts w:ascii="仿宋" w:eastAsia="仿宋" w:hAnsi="仿宋" w:hint="eastAsia"/>
          <w:sz w:val="32"/>
        </w:rPr>
        <w:t>（二）因拨改贷、债转股或者其他国家政策等历史原因尚未偿付债务；</w:t>
      </w:r>
    </w:p>
    <w:p w:rsidR="00DA5501" w:rsidRPr="00166E29" w:rsidRDefault="007C17D1">
      <w:pPr>
        <w:spacing w:line="560" w:lineRule="exact"/>
        <w:ind w:firstLineChars="200" w:firstLine="640"/>
        <w:rPr>
          <w:rFonts w:ascii="仿宋" w:eastAsia="仿宋" w:hAnsi="仿宋"/>
          <w:sz w:val="32"/>
        </w:rPr>
      </w:pPr>
      <w:r w:rsidRPr="00166E29">
        <w:rPr>
          <w:rFonts w:ascii="仿宋" w:eastAsia="仿宋" w:hAnsi="仿宋" w:hint="eastAsia"/>
          <w:sz w:val="32"/>
        </w:rPr>
        <w:t>（三）非因发行人原因所致的无法偿付债务的情形，包括债权人确认无须偿付或者拒不受领、无法确认债权人、债权人已不存在且无权利承继人等情形。</w:t>
      </w:r>
    </w:p>
    <w:p w:rsidR="00DA5501" w:rsidRPr="00166E29" w:rsidRDefault="007C17D1">
      <w:pPr>
        <w:adjustRightInd w:val="0"/>
        <w:snapToGrid w:val="0"/>
        <w:spacing w:line="560" w:lineRule="exact"/>
        <w:ind w:firstLineChars="200" w:firstLine="640"/>
        <w:rPr>
          <w:rFonts w:ascii="仿宋" w:eastAsia="仿宋" w:hAnsi="仿宋"/>
          <w:sz w:val="32"/>
          <w:szCs w:val="32"/>
        </w:rPr>
      </w:pPr>
      <w:r w:rsidRPr="00166E29">
        <w:rPr>
          <w:rFonts w:ascii="仿宋" w:eastAsia="仿宋" w:hAnsi="仿宋" w:hint="eastAsia"/>
          <w:sz w:val="32"/>
        </w:rPr>
        <w:t>主承销商就前款规定情形进行核查时，应当查询发行人信用记录、中国裁判文书网，并访谈相关债权人。主承销商应当在申请文件中详细说明尽职调查的过程，充分发表尽职调查结论并提供相关依据。</w:t>
      </w:r>
    </w:p>
    <w:p w:rsidR="00DA5501" w:rsidRPr="00166E29" w:rsidRDefault="00212B03" w:rsidP="003E67DF">
      <w:pPr>
        <w:spacing w:line="560" w:lineRule="exact"/>
        <w:ind w:firstLineChars="200" w:firstLine="643"/>
        <w:rPr>
          <w:rFonts w:ascii="仿宋" w:eastAsia="仿宋" w:hAnsi="仿宋"/>
          <w:sz w:val="32"/>
          <w:szCs w:val="32"/>
        </w:rPr>
      </w:pPr>
      <w:r w:rsidRPr="00166E29">
        <w:rPr>
          <w:rFonts w:ascii="仿宋" w:eastAsia="仿宋" w:hAnsi="仿宋" w:hint="eastAsia"/>
          <w:b/>
          <w:sz w:val="32"/>
          <w:szCs w:val="32"/>
        </w:rPr>
        <w:t>第九十</w:t>
      </w:r>
      <w:r>
        <w:rPr>
          <w:rFonts w:ascii="仿宋" w:eastAsia="仿宋" w:hAnsi="仿宋" w:hint="eastAsia"/>
          <w:b/>
          <w:sz w:val="32"/>
          <w:szCs w:val="32"/>
        </w:rPr>
        <w:t>一</w:t>
      </w:r>
      <w:r w:rsidR="007C17D1" w:rsidRPr="00166E29">
        <w:rPr>
          <w:rFonts w:ascii="仿宋" w:eastAsia="仿宋" w:hAnsi="仿宋" w:hint="eastAsia"/>
          <w:b/>
          <w:sz w:val="32"/>
          <w:szCs w:val="32"/>
        </w:rPr>
        <w:t>条</w:t>
      </w:r>
      <w:r w:rsidR="007C17D1" w:rsidRPr="00166E29">
        <w:rPr>
          <w:rFonts w:ascii="仿宋" w:eastAsia="仿宋" w:hAnsi="仿宋" w:hint="eastAsia"/>
          <w:kern w:val="0"/>
          <w:sz w:val="32"/>
          <w:lang w:bidi="en-US"/>
        </w:rPr>
        <w:t xml:space="preserve"> 上市公司发行人发生重大资产重组的，主承销商应当核查其</w:t>
      </w:r>
      <w:r w:rsidR="007C17D1" w:rsidRPr="00166E29">
        <w:rPr>
          <w:rFonts w:ascii="仿宋" w:eastAsia="仿宋" w:hAnsi="仿宋" w:hint="eastAsia"/>
          <w:sz w:val="32"/>
          <w:szCs w:val="32"/>
        </w:rPr>
        <w:t>在本次重组前是否符合公开发行公司债券条件以及本次重组是否导致其实际控制人发生变化；本次重组前不符合公开发行</w:t>
      </w:r>
      <w:r w:rsidR="00973A04">
        <w:rPr>
          <w:rFonts w:ascii="仿宋" w:eastAsia="仿宋" w:hAnsi="仿宋" w:hint="eastAsia"/>
          <w:sz w:val="32"/>
          <w:szCs w:val="32"/>
        </w:rPr>
        <w:t>公司</w:t>
      </w:r>
      <w:r w:rsidR="007C17D1" w:rsidRPr="00166E29">
        <w:rPr>
          <w:rFonts w:ascii="仿宋" w:eastAsia="仿宋" w:hAnsi="仿宋" w:hint="eastAsia"/>
          <w:sz w:val="32"/>
          <w:szCs w:val="32"/>
        </w:rPr>
        <w:t>债券条件或者本次重组导致实际控制人发生变化的，债券发行距本次重组交易完成的时间应当不少于一个完整会计年度。</w:t>
      </w:r>
    </w:p>
    <w:p w:rsidR="00DA5501" w:rsidRPr="00166E29" w:rsidRDefault="007C17D1">
      <w:pPr>
        <w:spacing w:line="560" w:lineRule="exact"/>
        <w:ind w:firstLineChars="200" w:firstLine="640"/>
        <w:rPr>
          <w:rFonts w:ascii="仿宋" w:eastAsia="仿宋" w:hAnsi="仿宋"/>
          <w:sz w:val="32"/>
          <w:szCs w:val="32"/>
        </w:rPr>
      </w:pPr>
      <w:r w:rsidRPr="00166E29">
        <w:rPr>
          <w:rFonts w:ascii="仿宋" w:eastAsia="仿宋" w:hAnsi="仿宋" w:hint="eastAsia"/>
          <w:sz w:val="32"/>
          <w:szCs w:val="32"/>
        </w:rPr>
        <w:t>非上市公司发行人参照前款规定执行。</w:t>
      </w:r>
    </w:p>
    <w:p w:rsidR="00DA5501" w:rsidRPr="00166E29" w:rsidRDefault="00212B03">
      <w:pPr>
        <w:spacing w:line="560" w:lineRule="exact"/>
        <w:ind w:firstLineChars="200" w:firstLine="643"/>
        <w:rPr>
          <w:rFonts w:ascii="仿宋" w:eastAsia="仿宋" w:hAnsi="仿宋"/>
          <w:sz w:val="32"/>
          <w:szCs w:val="32"/>
        </w:rPr>
      </w:pPr>
      <w:r w:rsidRPr="00166E29">
        <w:rPr>
          <w:rFonts w:ascii="仿宋" w:eastAsia="仿宋" w:hAnsi="仿宋" w:hint="eastAsia"/>
          <w:b/>
          <w:sz w:val="32"/>
          <w:szCs w:val="32"/>
        </w:rPr>
        <w:t>第九十</w:t>
      </w:r>
      <w:r>
        <w:rPr>
          <w:rFonts w:ascii="仿宋" w:eastAsia="仿宋" w:hAnsi="仿宋" w:hint="eastAsia"/>
          <w:b/>
          <w:sz w:val="32"/>
          <w:szCs w:val="32"/>
        </w:rPr>
        <w:t>二</w:t>
      </w:r>
      <w:r w:rsidR="007C17D1" w:rsidRPr="00166E29">
        <w:rPr>
          <w:rFonts w:ascii="仿宋" w:eastAsia="仿宋" w:hAnsi="仿宋" w:hint="eastAsia"/>
          <w:b/>
          <w:sz w:val="32"/>
          <w:szCs w:val="32"/>
        </w:rPr>
        <w:t>条</w:t>
      </w:r>
      <w:r w:rsidR="007C17D1" w:rsidRPr="00166E29">
        <w:rPr>
          <w:rFonts w:ascii="仿宋" w:eastAsia="仿宋" w:hAnsi="仿宋" w:hint="eastAsia"/>
          <w:kern w:val="0"/>
          <w:sz w:val="32"/>
          <w:lang w:bidi="en-US"/>
        </w:rPr>
        <w:t xml:space="preserve"> 上市公司发行人发生重大资产重组且</w:t>
      </w:r>
      <w:r w:rsidR="007C17D1" w:rsidRPr="00166E29">
        <w:rPr>
          <w:rFonts w:ascii="仿宋" w:eastAsia="仿宋" w:hAnsi="仿宋" w:hint="eastAsia"/>
          <w:sz w:val="32"/>
          <w:szCs w:val="32"/>
        </w:rPr>
        <w:t>同时符合</w:t>
      </w:r>
      <w:r w:rsidR="007C17D1" w:rsidRPr="00166E29">
        <w:rPr>
          <w:rFonts w:ascii="仿宋" w:eastAsia="仿宋" w:hAnsi="仿宋" w:hint="eastAsia"/>
          <w:sz w:val="32"/>
          <w:szCs w:val="32"/>
        </w:rPr>
        <w:lastRenderedPageBreak/>
        <w:t>下列条件的，本次重组前的业绩在审核时可以模拟计算：</w:t>
      </w:r>
    </w:p>
    <w:p w:rsidR="00DA5501" w:rsidRPr="00166E29" w:rsidRDefault="007C17D1">
      <w:pPr>
        <w:spacing w:line="560" w:lineRule="exact"/>
        <w:ind w:firstLineChars="200" w:firstLine="640"/>
        <w:rPr>
          <w:rFonts w:ascii="仿宋" w:eastAsia="仿宋" w:hAnsi="仿宋"/>
          <w:sz w:val="32"/>
          <w:szCs w:val="32"/>
        </w:rPr>
      </w:pPr>
      <w:r w:rsidRPr="00166E29">
        <w:rPr>
          <w:rFonts w:ascii="仿宋" w:eastAsia="仿宋" w:hAnsi="仿宋" w:hint="eastAsia"/>
          <w:sz w:val="32"/>
          <w:szCs w:val="32"/>
        </w:rPr>
        <w:t>（一）进入上市公司的资产是完整经营实体；</w:t>
      </w:r>
    </w:p>
    <w:p w:rsidR="00DA5501" w:rsidRPr="00166E29" w:rsidRDefault="007C17D1">
      <w:pPr>
        <w:spacing w:line="560" w:lineRule="exact"/>
        <w:ind w:firstLineChars="200" w:firstLine="640"/>
        <w:rPr>
          <w:rFonts w:ascii="仿宋" w:eastAsia="仿宋" w:hAnsi="仿宋"/>
          <w:sz w:val="32"/>
          <w:szCs w:val="32"/>
        </w:rPr>
      </w:pPr>
      <w:r w:rsidRPr="00166E29">
        <w:rPr>
          <w:rFonts w:ascii="仿宋" w:eastAsia="仿宋" w:hAnsi="仿宋" w:hint="eastAsia"/>
          <w:sz w:val="32"/>
          <w:szCs w:val="32"/>
        </w:rPr>
        <w:t>（二）本次重大资产重组实施完毕后，重组方的承诺事项已经如期履行，上市公司经营稳定、运行良好；</w:t>
      </w:r>
    </w:p>
    <w:p w:rsidR="00DA5501" w:rsidRPr="00166E29" w:rsidRDefault="007C17D1">
      <w:pPr>
        <w:spacing w:line="560" w:lineRule="exact"/>
        <w:ind w:firstLineChars="200" w:firstLine="640"/>
        <w:rPr>
          <w:rFonts w:ascii="仿宋" w:eastAsia="仿宋" w:hAnsi="仿宋"/>
          <w:sz w:val="32"/>
          <w:szCs w:val="32"/>
        </w:rPr>
      </w:pPr>
      <w:r w:rsidRPr="00166E29">
        <w:rPr>
          <w:rFonts w:ascii="仿宋" w:eastAsia="仿宋" w:hAnsi="仿宋" w:hint="eastAsia"/>
          <w:sz w:val="32"/>
          <w:szCs w:val="32"/>
        </w:rPr>
        <w:t>（三）本次重大资产重组实施完毕后，上市公司和相关资产实现的利润达到盈利预测水平。</w:t>
      </w:r>
    </w:p>
    <w:p w:rsidR="00DA5501" w:rsidRPr="00166E29" w:rsidRDefault="007C17D1">
      <w:pPr>
        <w:spacing w:line="560" w:lineRule="exact"/>
        <w:ind w:firstLineChars="200" w:firstLine="640"/>
        <w:rPr>
          <w:rFonts w:ascii="仿宋" w:eastAsia="仿宋" w:hAnsi="仿宋"/>
          <w:sz w:val="32"/>
          <w:szCs w:val="32"/>
        </w:rPr>
      </w:pPr>
      <w:r w:rsidRPr="00166E29">
        <w:rPr>
          <w:rFonts w:ascii="仿宋" w:eastAsia="仿宋" w:hAnsi="仿宋" w:hint="eastAsia"/>
          <w:sz w:val="32"/>
          <w:szCs w:val="32"/>
        </w:rPr>
        <w:t>非上市公司发行人参照前款规定执行。</w:t>
      </w:r>
    </w:p>
    <w:p w:rsidR="00DA5501" w:rsidRPr="00166E29" w:rsidRDefault="007C17D1">
      <w:pPr>
        <w:adjustRightInd w:val="0"/>
        <w:snapToGrid w:val="0"/>
        <w:spacing w:line="560" w:lineRule="exact"/>
        <w:ind w:firstLineChars="200" w:firstLine="640"/>
        <w:rPr>
          <w:rFonts w:ascii="仿宋" w:eastAsia="仿宋" w:hAnsi="仿宋"/>
          <w:sz w:val="32"/>
          <w:szCs w:val="32"/>
        </w:rPr>
      </w:pPr>
      <w:r w:rsidRPr="00166E29">
        <w:rPr>
          <w:rFonts w:ascii="仿宋" w:eastAsia="仿宋" w:hAnsi="仿宋" w:hint="eastAsia"/>
          <w:sz w:val="32"/>
          <w:szCs w:val="32"/>
        </w:rPr>
        <w:t>发行人使用模拟报表或者报告申报公开发行公司债券并计算发行条件的，主承销商应当按照前</w:t>
      </w:r>
      <w:r w:rsidR="007C3365">
        <w:rPr>
          <w:rFonts w:ascii="仿宋" w:eastAsia="仿宋" w:hAnsi="仿宋" w:hint="eastAsia"/>
          <w:sz w:val="32"/>
          <w:szCs w:val="32"/>
        </w:rPr>
        <w:t>两</w:t>
      </w:r>
      <w:r w:rsidRPr="00166E29">
        <w:rPr>
          <w:rFonts w:ascii="仿宋" w:eastAsia="仿宋" w:hAnsi="仿宋" w:hint="eastAsia"/>
          <w:sz w:val="32"/>
          <w:szCs w:val="32"/>
        </w:rPr>
        <w:t>款规定进行核查；符合模拟计算条件的，发行人提交模拟报表或者报告时应当说明编制口径、时间、编制依据等以及是否符合《企业会计准则》或者国家相关会计制度，申报会计师应当对此进行核查并发表</w:t>
      </w:r>
      <w:r w:rsidR="00F02857">
        <w:rPr>
          <w:rFonts w:ascii="仿宋" w:eastAsia="仿宋" w:hAnsi="仿宋" w:hint="eastAsia"/>
          <w:sz w:val="32"/>
          <w:szCs w:val="32"/>
        </w:rPr>
        <w:t>明确</w:t>
      </w:r>
      <w:r w:rsidRPr="00166E29">
        <w:rPr>
          <w:rFonts w:ascii="仿宋" w:eastAsia="仿宋" w:hAnsi="仿宋" w:hint="eastAsia"/>
          <w:sz w:val="32"/>
          <w:szCs w:val="32"/>
        </w:rPr>
        <w:t>意见。</w:t>
      </w:r>
    </w:p>
    <w:p w:rsidR="00DA5501" w:rsidRPr="00166E29" w:rsidRDefault="00212B03" w:rsidP="00166E29">
      <w:pPr>
        <w:numPr>
          <w:ilvl w:val="255"/>
          <w:numId w:val="0"/>
        </w:numPr>
        <w:adjustRightInd w:val="0"/>
        <w:snapToGrid w:val="0"/>
        <w:spacing w:line="560" w:lineRule="exact"/>
        <w:ind w:firstLineChars="200" w:firstLine="643"/>
        <w:rPr>
          <w:rFonts w:ascii="仿宋" w:eastAsia="仿宋" w:hAnsi="仿宋"/>
          <w:sz w:val="32"/>
          <w:szCs w:val="32"/>
        </w:rPr>
      </w:pPr>
      <w:r w:rsidRPr="00F02857">
        <w:rPr>
          <w:rFonts w:ascii="仿宋" w:eastAsia="仿宋" w:hAnsi="仿宋" w:cs="Times New Roman" w:hint="eastAsia"/>
          <w:b/>
          <w:color w:val="000000"/>
          <w:kern w:val="0"/>
          <w:sz w:val="32"/>
          <w:szCs w:val="30"/>
          <w:lang w:bidi="en-US"/>
        </w:rPr>
        <w:t>第九十</w:t>
      </w:r>
      <w:r>
        <w:rPr>
          <w:rFonts w:ascii="仿宋" w:eastAsia="仿宋" w:hAnsi="仿宋" w:cs="Times New Roman" w:hint="eastAsia"/>
          <w:b/>
          <w:color w:val="000000"/>
          <w:kern w:val="0"/>
          <w:sz w:val="32"/>
          <w:szCs w:val="30"/>
          <w:lang w:bidi="en-US"/>
        </w:rPr>
        <w:t>三</w:t>
      </w:r>
      <w:r w:rsidR="007C17D1" w:rsidRPr="00F02857">
        <w:rPr>
          <w:rFonts w:ascii="仿宋" w:eastAsia="仿宋" w:hAnsi="仿宋" w:cs="Times New Roman" w:hint="eastAsia"/>
          <w:b/>
          <w:color w:val="000000"/>
          <w:kern w:val="0"/>
          <w:sz w:val="32"/>
          <w:szCs w:val="30"/>
          <w:lang w:bidi="en-US"/>
        </w:rPr>
        <w:t xml:space="preserve">条 </w:t>
      </w:r>
      <w:r w:rsidR="007C17D1" w:rsidRPr="00F02857">
        <w:rPr>
          <w:rFonts w:ascii="仿宋" w:eastAsia="仿宋" w:hAnsi="仿宋" w:cs="Times New Roman" w:hint="eastAsia"/>
          <w:color w:val="000000"/>
          <w:kern w:val="0"/>
          <w:sz w:val="32"/>
          <w:szCs w:val="30"/>
          <w:lang w:bidi="en-US"/>
        </w:rPr>
        <w:t>主承销商应当</w:t>
      </w:r>
      <w:r w:rsidR="007C17D1" w:rsidRPr="00166E29">
        <w:rPr>
          <w:rFonts w:ascii="仿宋" w:eastAsia="仿宋" w:hAnsi="仿宋" w:hint="eastAsia"/>
          <w:sz w:val="32"/>
          <w:szCs w:val="32"/>
        </w:rPr>
        <w:t>核查发行人的董事、高级管理人员是否对公司债券发行上市申请文件签署书面确认意见</w:t>
      </w:r>
      <w:r w:rsidR="00886796" w:rsidRPr="00166E29">
        <w:rPr>
          <w:rFonts w:ascii="仿宋" w:eastAsia="仿宋" w:hAnsi="仿宋" w:hint="eastAsia"/>
          <w:sz w:val="32"/>
          <w:szCs w:val="32"/>
        </w:rPr>
        <w:t>；</w:t>
      </w:r>
      <w:r w:rsidR="007C17D1" w:rsidRPr="00166E29">
        <w:rPr>
          <w:rFonts w:ascii="仿宋" w:eastAsia="仿宋" w:hAnsi="仿宋" w:hint="eastAsia"/>
          <w:sz w:val="32"/>
          <w:szCs w:val="32"/>
        </w:rPr>
        <w:t>发行人的监事会是否对董事会编制的公司债券发行上市申请文件进行审核并提出书面审核意见</w:t>
      </w:r>
      <w:r w:rsidR="00886796">
        <w:rPr>
          <w:rFonts w:ascii="仿宋" w:eastAsia="仿宋" w:hAnsi="仿宋" w:hint="eastAsia"/>
          <w:sz w:val="32"/>
          <w:szCs w:val="32"/>
        </w:rPr>
        <w:t>，</w:t>
      </w:r>
      <w:r w:rsidR="007C17D1" w:rsidRPr="00166E29">
        <w:rPr>
          <w:rFonts w:ascii="仿宋" w:eastAsia="仿宋" w:hAnsi="仿宋" w:hint="eastAsia"/>
          <w:sz w:val="32"/>
          <w:szCs w:val="32"/>
        </w:rPr>
        <w:t>监事是否签署书面确认意见。</w:t>
      </w:r>
    </w:p>
    <w:p w:rsidR="00DA5501" w:rsidRPr="00166E29" w:rsidRDefault="007C17D1" w:rsidP="003E67DF">
      <w:pPr>
        <w:numPr>
          <w:ilvl w:val="255"/>
          <w:numId w:val="0"/>
        </w:numPr>
        <w:adjustRightInd w:val="0"/>
        <w:snapToGrid w:val="0"/>
        <w:spacing w:line="560" w:lineRule="exact"/>
        <w:ind w:firstLineChars="200" w:firstLine="640"/>
        <w:rPr>
          <w:rFonts w:ascii="仿宋" w:eastAsia="仿宋" w:hAnsi="仿宋"/>
          <w:sz w:val="32"/>
          <w:szCs w:val="32"/>
        </w:rPr>
      </w:pPr>
      <w:r w:rsidRPr="00166E29">
        <w:rPr>
          <w:rFonts w:ascii="仿宋" w:eastAsia="仿宋" w:hAnsi="仿宋" w:hint="eastAsia"/>
          <w:sz w:val="32"/>
          <w:szCs w:val="32"/>
        </w:rPr>
        <w:t>董事、监事和高级管理人员无法保证募集说明书等发行上市申请文件的真实性、准确性、完整性或者有异议的，</w:t>
      </w:r>
      <w:r w:rsidR="00886796" w:rsidRPr="005A441B">
        <w:rPr>
          <w:rFonts w:ascii="仿宋" w:eastAsia="仿宋" w:hAnsi="仿宋" w:cs="Times New Roman" w:hint="eastAsia"/>
          <w:color w:val="000000"/>
          <w:kern w:val="0"/>
          <w:sz w:val="32"/>
          <w:szCs w:val="30"/>
          <w:lang w:bidi="en-US"/>
        </w:rPr>
        <w:t>主承销商应当</w:t>
      </w:r>
      <w:r w:rsidR="00886796">
        <w:rPr>
          <w:rFonts w:ascii="仿宋" w:eastAsia="仿宋" w:hAnsi="仿宋" w:cs="Times New Roman" w:hint="eastAsia"/>
          <w:color w:val="000000"/>
          <w:kern w:val="0"/>
          <w:sz w:val="32"/>
          <w:szCs w:val="30"/>
          <w:lang w:bidi="en-US"/>
        </w:rPr>
        <w:t>核查其</w:t>
      </w:r>
      <w:r w:rsidRPr="00166E29">
        <w:rPr>
          <w:rFonts w:ascii="仿宋" w:eastAsia="仿宋" w:hAnsi="仿宋" w:hint="eastAsia"/>
          <w:sz w:val="32"/>
          <w:szCs w:val="32"/>
        </w:rPr>
        <w:t>是否在书面确认意见中发表意见并陈述理由，发行人是否已经披露。</w:t>
      </w:r>
    </w:p>
    <w:p w:rsidR="00DA5501" w:rsidRPr="00166E29" w:rsidRDefault="00212B03" w:rsidP="003E67DF">
      <w:pPr>
        <w:numPr>
          <w:ilvl w:val="255"/>
          <w:numId w:val="0"/>
        </w:numPr>
        <w:adjustRightInd w:val="0"/>
        <w:snapToGrid w:val="0"/>
        <w:spacing w:line="560" w:lineRule="exact"/>
        <w:ind w:firstLineChars="200" w:firstLine="643"/>
        <w:rPr>
          <w:rFonts w:ascii="仿宋" w:eastAsia="仿宋" w:hAnsi="仿宋"/>
          <w:sz w:val="32"/>
          <w:szCs w:val="32"/>
        </w:rPr>
      </w:pPr>
      <w:r w:rsidRPr="00F02857">
        <w:rPr>
          <w:rFonts w:ascii="仿宋" w:eastAsia="仿宋" w:hAnsi="仿宋" w:cs="Times New Roman" w:hint="eastAsia"/>
          <w:b/>
          <w:color w:val="000000"/>
          <w:kern w:val="0"/>
          <w:sz w:val="32"/>
          <w:szCs w:val="30"/>
          <w:lang w:bidi="en-US"/>
        </w:rPr>
        <w:t>第九十</w:t>
      </w:r>
      <w:r>
        <w:rPr>
          <w:rFonts w:ascii="仿宋" w:eastAsia="仿宋" w:hAnsi="仿宋" w:cs="Times New Roman" w:hint="eastAsia"/>
          <w:b/>
          <w:color w:val="000000"/>
          <w:kern w:val="0"/>
          <w:sz w:val="32"/>
          <w:szCs w:val="30"/>
          <w:lang w:bidi="en-US"/>
        </w:rPr>
        <w:t>四</w:t>
      </w:r>
      <w:r w:rsidR="007C17D1" w:rsidRPr="00F02857">
        <w:rPr>
          <w:rFonts w:ascii="仿宋" w:eastAsia="仿宋" w:hAnsi="仿宋" w:cs="Times New Roman" w:hint="eastAsia"/>
          <w:b/>
          <w:color w:val="000000"/>
          <w:kern w:val="0"/>
          <w:sz w:val="32"/>
          <w:szCs w:val="30"/>
          <w:lang w:bidi="en-US"/>
        </w:rPr>
        <w:t xml:space="preserve">条 </w:t>
      </w:r>
      <w:r w:rsidR="007C17D1" w:rsidRPr="00166E29">
        <w:rPr>
          <w:rFonts w:ascii="仿宋" w:eastAsia="仿宋" w:hAnsi="仿宋" w:hint="eastAsia"/>
          <w:sz w:val="32"/>
          <w:szCs w:val="32"/>
        </w:rPr>
        <w:t>主承销商应当核查主承销商、证券服务机构及其签字人员是否存在被监管部门限制债券承销或者参与债券发</w:t>
      </w:r>
      <w:r w:rsidR="007C17D1" w:rsidRPr="00166E29">
        <w:rPr>
          <w:rFonts w:ascii="仿宋" w:eastAsia="仿宋" w:hAnsi="仿宋" w:hint="eastAsia"/>
          <w:sz w:val="32"/>
          <w:szCs w:val="32"/>
        </w:rPr>
        <w:lastRenderedPageBreak/>
        <w:t>行业务活动、被相关监管部门给予其他处罚或者采取监管措施的情形。</w:t>
      </w:r>
    </w:p>
    <w:p w:rsidR="00DA5501" w:rsidRPr="00166E29" w:rsidRDefault="007C17D1">
      <w:pPr>
        <w:numPr>
          <w:ilvl w:val="255"/>
          <w:numId w:val="0"/>
        </w:numPr>
        <w:adjustRightInd w:val="0"/>
        <w:snapToGrid w:val="0"/>
        <w:spacing w:line="560" w:lineRule="exact"/>
        <w:ind w:firstLineChars="200" w:firstLine="640"/>
        <w:rPr>
          <w:rFonts w:ascii="仿宋" w:eastAsia="仿宋" w:hAnsi="仿宋"/>
          <w:sz w:val="32"/>
          <w:szCs w:val="32"/>
        </w:rPr>
      </w:pPr>
      <w:r w:rsidRPr="00166E29">
        <w:rPr>
          <w:rFonts w:ascii="仿宋" w:eastAsia="仿宋" w:hAnsi="仿宋" w:hint="eastAsia"/>
          <w:sz w:val="32"/>
          <w:szCs w:val="32"/>
        </w:rPr>
        <w:t>主承销商和证券服务机构被立案调查的，主承销应当核查被立案调查的原因和案件进展，</w:t>
      </w:r>
      <w:r w:rsidR="00973A04">
        <w:rPr>
          <w:rFonts w:ascii="仿宋" w:eastAsia="仿宋" w:hAnsi="仿宋" w:hint="eastAsia"/>
          <w:sz w:val="32"/>
          <w:szCs w:val="32"/>
        </w:rPr>
        <w:t>以及</w:t>
      </w:r>
      <w:r w:rsidRPr="00166E29">
        <w:rPr>
          <w:rFonts w:ascii="仿宋" w:eastAsia="仿宋" w:hAnsi="仿宋" w:hint="eastAsia"/>
          <w:sz w:val="32"/>
          <w:szCs w:val="32"/>
        </w:rPr>
        <w:t>是否因涉嫌公司债券发行业务违法违规行为或者其他对市场有重大影响的违法违规</w:t>
      </w:r>
      <w:r w:rsidR="00973A04">
        <w:rPr>
          <w:rFonts w:ascii="仿宋" w:eastAsia="仿宋" w:hAnsi="仿宋" w:hint="eastAsia"/>
          <w:sz w:val="32"/>
          <w:szCs w:val="32"/>
        </w:rPr>
        <w:t>行为</w:t>
      </w:r>
      <w:r w:rsidRPr="00166E29">
        <w:rPr>
          <w:rFonts w:ascii="仿宋" w:eastAsia="仿宋" w:hAnsi="仿宋" w:hint="eastAsia"/>
          <w:sz w:val="32"/>
          <w:szCs w:val="32"/>
        </w:rPr>
        <w:t>，被中国证监会及其派出机构立案调查或者被司法机关侦查且尚未结案。</w:t>
      </w:r>
    </w:p>
    <w:p w:rsidR="00DA5501" w:rsidRPr="00166E29" w:rsidRDefault="007C17D1">
      <w:pPr>
        <w:numPr>
          <w:ilvl w:val="255"/>
          <w:numId w:val="0"/>
        </w:numPr>
        <w:adjustRightInd w:val="0"/>
        <w:snapToGrid w:val="0"/>
        <w:spacing w:line="560" w:lineRule="exact"/>
        <w:ind w:firstLineChars="200" w:firstLine="640"/>
        <w:rPr>
          <w:rFonts w:ascii="仿宋" w:eastAsia="仿宋" w:hAnsi="仿宋"/>
          <w:sz w:val="32"/>
          <w:szCs w:val="32"/>
        </w:rPr>
      </w:pPr>
      <w:r w:rsidRPr="00166E29">
        <w:rPr>
          <w:rFonts w:ascii="仿宋" w:eastAsia="仿宋" w:hAnsi="仿宋" w:hint="eastAsia"/>
          <w:sz w:val="32"/>
          <w:szCs w:val="32"/>
        </w:rPr>
        <w:t>存在</w:t>
      </w:r>
      <w:r w:rsidR="00F8378C">
        <w:rPr>
          <w:rFonts w:ascii="仿宋" w:eastAsia="仿宋" w:hAnsi="仿宋" w:hint="eastAsia"/>
          <w:sz w:val="32"/>
          <w:szCs w:val="32"/>
        </w:rPr>
        <w:t>前两款</w:t>
      </w:r>
      <w:r w:rsidRPr="00166E29">
        <w:rPr>
          <w:rFonts w:ascii="仿宋" w:eastAsia="仿宋" w:hAnsi="仿宋" w:hint="eastAsia"/>
          <w:sz w:val="32"/>
          <w:szCs w:val="32"/>
        </w:rPr>
        <w:t>规定情形的，主承销应当核查相关情形是否对本次债券发行构成实质障碍。</w:t>
      </w:r>
    </w:p>
    <w:p w:rsidR="00DA5501" w:rsidRPr="00166E29" w:rsidRDefault="00212B03" w:rsidP="003E67DF">
      <w:pPr>
        <w:numPr>
          <w:ilvl w:val="255"/>
          <w:numId w:val="0"/>
        </w:numPr>
        <w:adjustRightInd w:val="0"/>
        <w:snapToGrid w:val="0"/>
        <w:spacing w:line="560" w:lineRule="exact"/>
        <w:ind w:firstLineChars="200" w:firstLine="643"/>
        <w:rPr>
          <w:rFonts w:ascii="仿宋" w:eastAsia="仿宋" w:hAnsi="仿宋"/>
          <w:sz w:val="32"/>
          <w:szCs w:val="32"/>
        </w:rPr>
      </w:pPr>
      <w:r w:rsidRPr="00F02857">
        <w:rPr>
          <w:rFonts w:ascii="仿宋" w:eastAsia="仿宋" w:hAnsi="仿宋" w:cs="Times New Roman" w:hint="eastAsia"/>
          <w:b/>
          <w:color w:val="000000"/>
          <w:kern w:val="0"/>
          <w:sz w:val="32"/>
          <w:szCs w:val="30"/>
          <w:lang w:bidi="en-US"/>
        </w:rPr>
        <w:t>第九十</w:t>
      </w:r>
      <w:r>
        <w:rPr>
          <w:rFonts w:ascii="仿宋" w:eastAsia="仿宋" w:hAnsi="仿宋" w:cs="Times New Roman" w:hint="eastAsia"/>
          <w:b/>
          <w:color w:val="000000"/>
          <w:kern w:val="0"/>
          <w:sz w:val="32"/>
          <w:szCs w:val="30"/>
          <w:lang w:bidi="en-US"/>
        </w:rPr>
        <w:t>五</w:t>
      </w:r>
      <w:r w:rsidR="007C17D1" w:rsidRPr="00F02857">
        <w:rPr>
          <w:rFonts w:ascii="仿宋" w:eastAsia="仿宋" w:hAnsi="仿宋" w:cs="Times New Roman" w:hint="eastAsia"/>
          <w:b/>
          <w:color w:val="000000"/>
          <w:kern w:val="0"/>
          <w:sz w:val="32"/>
          <w:szCs w:val="30"/>
          <w:lang w:bidi="en-US"/>
        </w:rPr>
        <w:t xml:space="preserve">条 </w:t>
      </w:r>
      <w:r w:rsidR="007C17D1" w:rsidRPr="00166E29">
        <w:rPr>
          <w:rFonts w:ascii="仿宋" w:eastAsia="仿宋" w:hAnsi="仿宋" w:hint="eastAsia"/>
          <w:sz w:val="32"/>
          <w:szCs w:val="32"/>
        </w:rPr>
        <w:t>发行人申报期间更换主承销商或者证券服务机构的，</w:t>
      </w:r>
      <w:r w:rsidR="007C3365">
        <w:rPr>
          <w:rFonts w:ascii="仿宋" w:eastAsia="仿宋" w:hAnsi="仿宋" w:hint="eastAsia"/>
          <w:sz w:val="32"/>
          <w:szCs w:val="32"/>
        </w:rPr>
        <w:t>更换后的</w:t>
      </w:r>
      <w:r w:rsidR="007C17D1" w:rsidRPr="00166E29">
        <w:rPr>
          <w:rFonts w:ascii="仿宋" w:eastAsia="仿宋" w:hAnsi="仿宋" w:hint="eastAsia"/>
          <w:sz w:val="32"/>
          <w:szCs w:val="32"/>
        </w:rPr>
        <w:t>主承销商应当就相关机构是否在规定期限内完成核查、是否重新出具相关专业意见、对原机构出具的专业意见是否已进行复核进行核查；与原机构出具的专业意见存在差异的，</w:t>
      </w:r>
      <w:r w:rsidR="00973A04">
        <w:rPr>
          <w:rFonts w:ascii="仿宋" w:eastAsia="仿宋" w:hAnsi="仿宋" w:hint="eastAsia"/>
          <w:sz w:val="32"/>
          <w:szCs w:val="32"/>
        </w:rPr>
        <w:t>更换后的</w:t>
      </w:r>
      <w:r w:rsidR="007C17D1" w:rsidRPr="00166E29">
        <w:rPr>
          <w:rFonts w:ascii="仿宋" w:eastAsia="仿宋" w:hAnsi="仿宋" w:hint="eastAsia"/>
          <w:sz w:val="32"/>
          <w:szCs w:val="32"/>
        </w:rPr>
        <w:t>主承销商应当进行说明，并发表明确意见。</w:t>
      </w:r>
    </w:p>
    <w:p w:rsidR="00DA5501" w:rsidRPr="00166E29" w:rsidRDefault="007C3365" w:rsidP="003E67DF">
      <w:pPr>
        <w:numPr>
          <w:ilvl w:val="255"/>
          <w:numId w:val="0"/>
        </w:num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主承销商或者证券服务机构</w:t>
      </w:r>
      <w:r w:rsidR="007C17D1" w:rsidRPr="00166E29">
        <w:rPr>
          <w:rFonts w:ascii="仿宋" w:eastAsia="仿宋" w:hAnsi="仿宋" w:hint="eastAsia"/>
          <w:sz w:val="32"/>
          <w:szCs w:val="32"/>
        </w:rPr>
        <w:t>更换签字人员的，应当符合中国证监会以及本所相关规定。</w:t>
      </w:r>
    </w:p>
    <w:p w:rsidR="00DA5501" w:rsidRPr="00166E29" w:rsidRDefault="00212B03" w:rsidP="002807BC">
      <w:pPr>
        <w:numPr>
          <w:ilvl w:val="255"/>
          <w:numId w:val="0"/>
        </w:numPr>
        <w:adjustRightInd w:val="0"/>
        <w:snapToGrid w:val="0"/>
        <w:spacing w:line="560" w:lineRule="exact"/>
        <w:ind w:firstLineChars="200" w:firstLine="643"/>
        <w:rPr>
          <w:rFonts w:ascii="仿宋" w:eastAsia="仿宋" w:hAnsi="仿宋"/>
          <w:sz w:val="32"/>
          <w:szCs w:val="32"/>
        </w:rPr>
      </w:pPr>
      <w:r w:rsidRPr="00F02857">
        <w:rPr>
          <w:rFonts w:ascii="仿宋" w:eastAsia="仿宋" w:hAnsi="仿宋" w:cs="Times New Roman" w:hint="eastAsia"/>
          <w:b/>
          <w:color w:val="000000"/>
          <w:kern w:val="0"/>
          <w:sz w:val="32"/>
          <w:szCs w:val="30"/>
          <w:lang w:bidi="en-US"/>
        </w:rPr>
        <w:t>第九十</w:t>
      </w:r>
      <w:r>
        <w:rPr>
          <w:rFonts w:ascii="仿宋" w:eastAsia="仿宋" w:hAnsi="仿宋" w:cs="Times New Roman" w:hint="eastAsia"/>
          <w:b/>
          <w:color w:val="000000"/>
          <w:kern w:val="0"/>
          <w:sz w:val="32"/>
          <w:szCs w:val="30"/>
          <w:lang w:bidi="en-US"/>
        </w:rPr>
        <w:t>六</w:t>
      </w:r>
      <w:r w:rsidR="007C17D1" w:rsidRPr="00F02857">
        <w:rPr>
          <w:rFonts w:ascii="仿宋" w:eastAsia="仿宋" w:hAnsi="仿宋" w:cs="Times New Roman" w:hint="eastAsia"/>
          <w:b/>
          <w:color w:val="000000"/>
          <w:kern w:val="0"/>
          <w:sz w:val="32"/>
          <w:szCs w:val="30"/>
          <w:lang w:bidi="en-US"/>
        </w:rPr>
        <w:t xml:space="preserve">条 </w:t>
      </w:r>
      <w:r w:rsidR="007C17D1" w:rsidRPr="00166E29">
        <w:rPr>
          <w:rFonts w:ascii="仿宋" w:eastAsia="仿宋" w:hAnsi="仿宋" w:hint="eastAsia"/>
          <w:sz w:val="32"/>
          <w:szCs w:val="32"/>
        </w:rPr>
        <w:t>相关</w:t>
      </w:r>
      <w:r w:rsidR="007C3365">
        <w:rPr>
          <w:rFonts w:ascii="仿宋" w:eastAsia="仿宋" w:hAnsi="仿宋" w:hint="eastAsia"/>
          <w:sz w:val="32"/>
          <w:szCs w:val="32"/>
        </w:rPr>
        <w:t>监管</w:t>
      </w:r>
      <w:r w:rsidR="007C17D1" w:rsidRPr="00166E29">
        <w:rPr>
          <w:rFonts w:ascii="仿宋" w:eastAsia="仿宋" w:hAnsi="仿宋" w:hint="eastAsia"/>
          <w:sz w:val="32"/>
          <w:szCs w:val="32"/>
        </w:rPr>
        <w:t>部门在本次债券申报期间撤销对主承销商或者证券服务机构立案或者出具说明确认立案调查不影响公司债券发行上市条件的，主承销商应当进行补充核查。</w:t>
      </w:r>
    </w:p>
    <w:p w:rsidR="00DA5501" w:rsidRPr="00F02857" w:rsidRDefault="00212B03" w:rsidP="003E67DF">
      <w:pPr>
        <w:numPr>
          <w:ilvl w:val="255"/>
          <w:numId w:val="0"/>
        </w:numPr>
        <w:adjustRightInd w:val="0"/>
        <w:snapToGrid w:val="0"/>
        <w:spacing w:line="560" w:lineRule="exact"/>
        <w:ind w:firstLineChars="200" w:firstLine="643"/>
        <w:rPr>
          <w:rFonts w:ascii="仿宋" w:eastAsia="仿宋" w:hAnsi="仿宋" w:cs="Times New Roman"/>
          <w:color w:val="000000"/>
          <w:kern w:val="0"/>
          <w:sz w:val="32"/>
          <w:szCs w:val="30"/>
          <w:lang w:bidi="en-US"/>
        </w:rPr>
      </w:pPr>
      <w:r w:rsidRPr="00F02857">
        <w:rPr>
          <w:rFonts w:ascii="仿宋" w:eastAsia="仿宋" w:hAnsi="仿宋" w:cs="Times New Roman" w:hint="eastAsia"/>
          <w:b/>
          <w:color w:val="000000"/>
          <w:kern w:val="0"/>
          <w:sz w:val="32"/>
          <w:szCs w:val="30"/>
          <w:lang w:bidi="en-US"/>
        </w:rPr>
        <w:t>第九十</w:t>
      </w:r>
      <w:r>
        <w:rPr>
          <w:rFonts w:ascii="仿宋" w:eastAsia="仿宋" w:hAnsi="仿宋" w:cs="Times New Roman" w:hint="eastAsia"/>
          <w:b/>
          <w:color w:val="000000"/>
          <w:kern w:val="0"/>
          <w:sz w:val="32"/>
          <w:szCs w:val="30"/>
          <w:lang w:bidi="en-US"/>
        </w:rPr>
        <w:t>七</w:t>
      </w:r>
      <w:r w:rsidR="007C17D1" w:rsidRPr="00F02857">
        <w:rPr>
          <w:rFonts w:ascii="仿宋" w:eastAsia="仿宋" w:hAnsi="仿宋" w:cs="Times New Roman" w:hint="eastAsia"/>
          <w:b/>
          <w:color w:val="000000"/>
          <w:kern w:val="0"/>
          <w:sz w:val="32"/>
          <w:szCs w:val="30"/>
          <w:lang w:bidi="en-US"/>
        </w:rPr>
        <w:t xml:space="preserve">条 </w:t>
      </w:r>
      <w:r w:rsidR="007C17D1" w:rsidRPr="00F02857">
        <w:rPr>
          <w:rFonts w:ascii="仿宋" w:eastAsia="仿宋" w:hAnsi="仿宋" w:cs="Times New Roman" w:hint="eastAsia"/>
          <w:bCs/>
          <w:color w:val="000000"/>
          <w:kern w:val="0"/>
          <w:sz w:val="32"/>
          <w:szCs w:val="30"/>
          <w:lang w:bidi="en-US"/>
        </w:rPr>
        <w:t>主承销商应当核查</w:t>
      </w:r>
      <w:r w:rsidR="007C17D1" w:rsidRPr="00166E29">
        <w:rPr>
          <w:rFonts w:ascii="仿宋" w:eastAsia="仿宋" w:hAnsi="仿宋" w:hint="eastAsia"/>
          <w:sz w:val="32"/>
          <w:szCs w:val="32"/>
        </w:rPr>
        <w:t>债券受托管理人是否符合中国证监会、中国证券业协会以及本所的相关规定，包括但不限于债券受托管理人是否为中国证券业协会会员、是否为本次债券提</w:t>
      </w:r>
      <w:r w:rsidR="007C17D1" w:rsidRPr="00166E29">
        <w:rPr>
          <w:rFonts w:ascii="仿宋" w:eastAsia="仿宋" w:hAnsi="仿宋" w:hint="eastAsia"/>
          <w:sz w:val="32"/>
          <w:szCs w:val="32"/>
        </w:rPr>
        <w:lastRenderedPageBreak/>
        <w:t>供担保，</w:t>
      </w:r>
      <w:r w:rsidR="00973A04">
        <w:rPr>
          <w:rFonts w:ascii="仿宋" w:eastAsia="仿宋" w:hAnsi="仿宋" w:hint="eastAsia"/>
          <w:sz w:val="32"/>
          <w:szCs w:val="32"/>
        </w:rPr>
        <w:t>以及</w:t>
      </w:r>
      <w:r w:rsidR="007C17D1" w:rsidRPr="00166E29">
        <w:rPr>
          <w:rFonts w:ascii="仿宋" w:eastAsia="仿宋" w:hAnsi="仿宋" w:hint="eastAsia"/>
          <w:sz w:val="32"/>
          <w:szCs w:val="32"/>
        </w:rPr>
        <w:t>是否为发行人的关联方。</w:t>
      </w:r>
    </w:p>
    <w:p w:rsidR="00DA5501" w:rsidRPr="00886796" w:rsidRDefault="007C17D1" w:rsidP="003E67DF">
      <w:pPr>
        <w:numPr>
          <w:ilvl w:val="255"/>
          <w:numId w:val="0"/>
        </w:num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886796">
        <w:rPr>
          <w:rFonts w:ascii="仿宋" w:eastAsia="仿宋" w:hAnsi="仿宋" w:cs="Times New Roman" w:hint="eastAsia"/>
          <w:bCs/>
          <w:color w:val="000000"/>
          <w:kern w:val="0"/>
          <w:sz w:val="32"/>
          <w:szCs w:val="30"/>
          <w:lang w:bidi="en-US"/>
        </w:rPr>
        <w:t>主承销商应当核查</w:t>
      </w:r>
      <w:r w:rsidRPr="00886796">
        <w:rPr>
          <w:rFonts w:ascii="仿宋" w:eastAsia="仿宋" w:hAnsi="仿宋" w:cs="Times New Roman" w:hint="eastAsia"/>
          <w:color w:val="000000"/>
          <w:kern w:val="0"/>
          <w:sz w:val="32"/>
          <w:szCs w:val="30"/>
          <w:lang w:bidi="en-US"/>
        </w:rPr>
        <w:t>债券受托管理协</w:t>
      </w:r>
      <w:r w:rsidRPr="00886796">
        <w:rPr>
          <w:rFonts w:ascii="仿宋" w:eastAsia="仿宋" w:hAnsi="仿宋" w:cs="Times New Roman" w:hint="eastAsia"/>
          <w:bCs/>
          <w:color w:val="000000"/>
          <w:kern w:val="0"/>
          <w:sz w:val="32"/>
          <w:szCs w:val="30"/>
          <w:lang w:bidi="en-US"/>
        </w:rPr>
        <w:t>议是否符合《</w:t>
      </w:r>
      <w:r w:rsidR="007C3365">
        <w:rPr>
          <w:rFonts w:ascii="仿宋" w:eastAsia="仿宋" w:hAnsi="仿宋" w:cs="Times New Roman" w:hint="eastAsia"/>
          <w:bCs/>
          <w:color w:val="000000"/>
          <w:kern w:val="0"/>
          <w:sz w:val="32"/>
          <w:szCs w:val="30"/>
          <w:lang w:bidi="en-US"/>
        </w:rPr>
        <w:t>发行与交易</w:t>
      </w:r>
      <w:r w:rsidRPr="00886796">
        <w:rPr>
          <w:rFonts w:ascii="仿宋" w:eastAsia="仿宋" w:hAnsi="仿宋" w:cs="Times New Roman" w:hint="eastAsia"/>
          <w:bCs/>
          <w:color w:val="000000"/>
          <w:kern w:val="0"/>
          <w:sz w:val="32"/>
          <w:szCs w:val="30"/>
          <w:lang w:bidi="en-US"/>
        </w:rPr>
        <w:t>管理办法》《公司债券受托管理人执业行为准</w:t>
      </w:r>
      <w:r w:rsidRPr="00886796">
        <w:rPr>
          <w:rFonts w:ascii="仿宋" w:eastAsia="仿宋" w:hAnsi="仿宋" w:cs="Times New Roman" w:hint="eastAsia"/>
          <w:color w:val="000000"/>
          <w:kern w:val="0"/>
          <w:sz w:val="32"/>
          <w:szCs w:val="30"/>
          <w:lang w:bidi="en-US"/>
        </w:rPr>
        <w:t>则》的相关规定。</w:t>
      </w:r>
    </w:p>
    <w:p w:rsidR="00DA5501" w:rsidRPr="00886796" w:rsidRDefault="00212B03" w:rsidP="003E67DF">
      <w:pPr>
        <w:numPr>
          <w:ilvl w:val="255"/>
          <w:numId w:val="0"/>
        </w:numPr>
        <w:adjustRightInd w:val="0"/>
        <w:snapToGrid w:val="0"/>
        <w:spacing w:line="560" w:lineRule="exact"/>
        <w:ind w:firstLineChars="200" w:firstLine="643"/>
        <w:rPr>
          <w:rFonts w:ascii="仿宋" w:eastAsia="仿宋" w:hAnsi="仿宋" w:cs="Times New Roman"/>
          <w:color w:val="000000"/>
          <w:kern w:val="0"/>
          <w:sz w:val="32"/>
          <w:szCs w:val="30"/>
          <w:lang w:bidi="en-US"/>
        </w:rPr>
      </w:pPr>
      <w:r w:rsidRPr="00886796">
        <w:rPr>
          <w:rFonts w:ascii="仿宋" w:eastAsia="仿宋" w:hAnsi="仿宋" w:cs="Times New Roman" w:hint="eastAsia"/>
          <w:b/>
          <w:color w:val="000000"/>
          <w:kern w:val="0"/>
          <w:sz w:val="32"/>
          <w:szCs w:val="30"/>
          <w:lang w:bidi="en-US"/>
        </w:rPr>
        <w:t>第九十</w:t>
      </w:r>
      <w:r>
        <w:rPr>
          <w:rFonts w:ascii="仿宋" w:eastAsia="仿宋" w:hAnsi="仿宋" w:cs="Times New Roman" w:hint="eastAsia"/>
          <w:b/>
          <w:color w:val="000000"/>
          <w:kern w:val="0"/>
          <w:sz w:val="32"/>
          <w:szCs w:val="30"/>
          <w:lang w:bidi="en-US"/>
        </w:rPr>
        <w:t>八</w:t>
      </w:r>
      <w:r w:rsidR="007C17D1" w:rsidRPr="00886796">
        <w:rPr>
          <w:rFonts w:ascii="仿宋" w:eastAsia="仿宋" w:hAnsi="仿宋" w:cs="Times New Roman" w:hint="eastAsia"/>
          <w:b/>
          <w:color w:val="000000"/>
          <w:kern w:val="0"/>
          <w:sz w:val="32"/>
          <w:szCs w:val="30"/>
          <w:lang w:bidi="en-US"/>
        </w:rPr>
        <w:t>条</w:t>
      </w:r>
      <w:r w:rsidR="007C17D1" w:rsidRPr="00886796">
        <w:rPr>
          <w:rFonts w:ascii="仿宋" w:eastAsia="仿宋" w:hAnsi="仿宋" w:cs="Times New Roman"/>
          <w:b/>
          <w:color w:val="000000"/>
          <w:kern w:val="0"/>
          <w:sz w:val="32"/>
          <w:szCs w:val="30"/>
          <w:lang w:bidi="en-US"/>
        </w:rPr>
        <w:t xml:space="preserve"> </w:t>
      </w:r>
      <w:r w:rsidR="007C17D1" w:rsidRPr="00886796">
        <w:rPr>
          <w:rFonts w:ascii="仿宋" w:eastAsia="仿宋" w:hAnsi="仿宋" w:cs="Times New Roman" w:hint="eastAsia"/>
          <w:bCs/>
          <w:color w:val="000000"/>
          <w:kern w:val="0"/>
          <w:sz w:val="32"/>
          <w:szCs w:val="30"/>
          <w:lang w:bidi="en-US"/>
        </w:rPr>
        <w:t>主承销商应当核查</w:t>
      </w:r>
      <w:r w:rsidR="007C3365">
        <w:rPr>
          <w:rFonts w:ascii="仿宋" w:eastAsia="仿宋" w:hAnsi="仿宋" w:cs="Times New Roman" w:hint="eastAsia"/>
          <w:bCs/>
          <w:color w:val="000000"/>
          <w:kern w:val="0"/>
          <w:sz w:val="32"/>
          <w:szCs w:val="30"/>
          <w:lang w:bidi="en-US"/>
        </w:rPr>
        <w:t>《</w:t>
      </w:r>
      <w:r w:rsidR="007C17D1" w:rsidRPr="00886796">
        <w:rPr>
          <w:rFonts w:ascii="仿宋" w:eastAsia="仿宋" w:hAnsi="仿宋" w:cs="Times New Roman" w:hint="eastAsia"/>
          <w:color w:val="000000"/>
          <w:kern w:val="0"/>
          <w:sz w:val="32"/>
          <w:szCs w:val="30"/>
          <w:lang w:bidi="en-US"/>
        </w:rPr>
        <w:t>债券持有人</w:t>
      </w:r>
      <w:r w:rsidR="007C3365">
        <w:rPr>
          <w:rFonts w:ascii="仿宋" w:eastAsia="仿宋" w:hAnsi="仿宋" w:cs="Times New Roman" w:hint="eastAsia"/>
          <w:color w:val="000000"/>
          <w:kern w:val="0"/>
          <w:sz w:val="32"/>
          <w:szCs w:val="30"/>
          <w:lang w:bidi="en-US"/>
        </w:rPr>
        <w:t>会议</w:t>
      </w:r>
      <w:r w:rsidR="007C17D1" w:rsidRPr="00886796">
        <w:rPr>
          <w:rFonts w:ascii="仿宋" w:eastAsia="仿宋" w:hAnsi="仿宋" w:cs="Times New Roman" w:hint="eastAsia"/>
          <w:color w:val="000000"/>
          <w:kern w:val="0"/>
          <w:sz w:val="32"/>
          <w:szCs w:val="30"/>
          <w:lang w:bidi="en-US"/>
        </w:rPr>
        <w:t>规则</w:t>
      </w:r>
      <w:r w:rsidR="007C3365">
        <w:rPr>
          <w:rFonts w:ascii="仿宋" w:eastAsia="仿宋" w:hAnsi="仿宋" w:cs="Times New Roman" w:hint="eastAsia"/>
          <w:bCs/>
          <w:color w:val="000000"/>
          <w:kern w:val="0"/>
          <w:sz w:val="32"/>
          <w:szCs w:val="30"/>
          <w:lang w:bidi="en-US"/>
        </w:rPr>
        <w:t>》</w:t>
      </w:r>
      <w:r w:rsidR="007C17D1" w:rsidRPr="00886796">
        <w:rPr>
          <w:rFonts w:ascii="仿宋" w:eastAsia="仿宋" w:hAnsi="仿宋" w:cs="Times New Roman" w:hint="eastAsia"/>
          <w:color w:val="000000"/>
          <w:kern w:val="0"/>
          <w:sz w:val="32"/>
          <w:szCs w:val="30"/>
          <w:lang w:bidi="en-US"/>
        </w:rPr>
        <w:t>是否符合《</w:t>
      </w:r>
      <w:r w:rsidR="007C3365">
        <w:rPr>
          <w:rFonts w:ascii="仿宋" w:eastAsia="仿宋" w:hAnsi="仿宋" w:cs="Times New Roman" w:hint="eastAsia"/>
          <w:bCs/>
          <w:color w:val="000000"/>
          <w:kern w:val="0"/>
          <w:sz w:val="32"/>
          <w:szCs w:val="30"/>
          <w:lang w:bidi="en-US"/>
        </w:rPr>
        <w:t>发行与交易</w:t>
      </w:r>
      <w:r w:rsidR="007C17D1" w:rsidRPr="00886796">
        <w:rPr>
          <w:rFonts w:ascii="仿宋" w:eastAsia="仿宋" w:hAnsi="仿宋" w:cs="Times New Roman" w:hint="eastAsia"/>
          <w:color w:val="000000"/>
          <w:kern w:val="0"/>
          <w:sz w:val="32"/>
          <w:szCs w:val="30"/>
          <w:lang w:bidi="en-US"/>
        </w:rPr>
        <w:t>管理办法》《上市规则》的相关规定。</w:t>
      </w:r>
    </w:p>
    <w:p w:rsidR="00DA5501" w:rsidRPr="00886796" w:rsidRDefault="00212B03">
      <w:pPr>
        <w:adjustRightInd w:val="0"/>
        <w:snapToGrid w:val="0"/>
        <w:spacing w:line="560" w:lineRule="exact"/>
        <w:ind w:firstLineChars="200" w:firstLine="643"/>
        <w:rPr>
          <w:rFonts w:ascii="仿宋" w:eastAsia="仿宋" w:hAnsi="仿宋" w:cs="Times New Roman"/>
          <w:color w:val="000000"/>
          <w:kern w:val="0"/>
          <w:sz w:val="32"/>
          <w:szCs w:val="30"/>
          <w:lang w:bidi="en-US"/>
        </w:rPr>
      </w:pPr>
      <w:r w:rsidRPr="00886796">
        <w:rPr>
          <w:rFonts w:ascii="仿宋" w:eastAsia="仿宋" w:hAnsi="仿宋" w:cs="Times New Roman" w:hint="eastAsia"/>
          <w:b/>
          <w:color w:val="000000"/>
          <w:kern w:val="0"/>
          <w:sz w:val="32"/>
          <w:szCs w:val="30"/>
          <w:lang w:bidi="en-US"/>
        </w:rPr>
        <w:t>第</w:t>
      </w:r>
      <w:r>
        <w:rPr>
          <w:rFonts w:ascii="仿宋" w:eastAsia="仿宋" w:hAnsi="仿宋" w:cs="Times New Roman" w:hint="eastAsia"/>
          <w:b/>
          <w:color w:val="000000"/>
          <w:kern w:val="0"/>
          <w:sz w:val="32"/>
          <w:szCs w:val="30"/>
          <w:lang w:bidi="en-US"/>
        </w:rPr>
        <w:t>九十九</w:t>
      </w:r>
      <w:r w:rsidR="007C17D1" w:rsidRPr="00886796">
        <w:rPr>
          <w:rFonts w:ascii="仿宋" w:eastAsia="仿宋" w:hAnsi="仿宋" w:cs="Times New Roman" w:hint="eastAsia"/>
          <w:b/>
          <w:color w:val="000000"/>
          <w:kern w:val="0"/>
          <w:sz w:val="32"/>
          <w:szCs w:val="30"/>
          <w:lang w:bidi="en-US"/>
        </w:rPr>
        <w:t>条</w:t>
      </w:r>
      <w:r w:rsidR="007C17D1" w:rsidRPr="00886796">
        <w:rPr>
          <w:rFonts w:ascii="仿宋" w:eastAsia="仿宋" w:hAnsi="仿宋" w:cs="Times New Roman"/>
          <w:b/>
          <w:color w:val="000000"/>
          <w:kern w:val="0"/>
          <w:sz w:val="32"/>
          <w:szCs w:val="30"/>
          <w:lang w:bidi="en-US"/>
        </w:rPr>
        <w:t xml:space="preserve"> </w:t>
      </w:r>
      <w:r w:rsidR="007C17D1" w:rsidRPr="00886796">
        <w:rPr>
          <w:rFonts w:ascii="仿宋" w:eastAsia="仿宋" w:hAnsi="仿宋" w:cs="Times New Roman" w:hint="eastAsia"/>
          <w:bCs/>
          <w:color w:val="000000"/>
          <w:kern w:val="0"/>
          <w:sz w:val="32"/>
          <w:szCs w:val="30"/>
          <w:lang w:bidi="en-US"/>
        </w:rPr>
        <w:t>除本指引规定外，主承销商应当</w:t>
      </w:r>
      <w:r w:rsidR="008F2CD0">
        <w:rPr>
          <w:rFonts w:ascii="仿宋" w:eastAsia="仿宋" w:hAnsi="仿宋" w:cs="Times New Roman" w:hint="eastAsia"/>
          <w:bCs/>
          <w:color w:val="000000"/>
          <w:kern w:val="0"/>
          <w:sz w:val="32"/>
          <w:szCs w:val="30"/>
          <w:lang w:bidi="en-US"/>
        </w:rPr>
        <w:t>全面</w:t>
      </w:r>
      <w:r w:rsidR="007C17D1" w:rsidRPr="00886796">
        <w:rPr>
          <w:rFonts w:ascii="仿宋" w:eastAsia="仿宋" w:hAnsi="仿宋" w:cs="Times New Roman" w:hint="eastAsia"/>
          <w:bCs/>
          <w:color w:val="000000"/>
          <w:kern w:val="0"/>
          <w:sz w:val="32"/>
          <w:szCs w:val="30"/>
          <w:lang w:bidi="en-US"/>
        </w:rPr>
        <w:t>核查</w:t>
      </w:r>
      <w:r w:rsidR="007C17D1" w:rsidRPr="00886796">
        <w:rPr>
          <w:rFonts w:ascii="仿宋" w:eastAsia="仿宋" w:hAnsi="仿宋" w:cs="Times New Roman" w:hint="eastAsia"/>
          <w:color w:val="000000"/>
          <w:kern w:val="0"/>
          <w:sz w:val="32"/>
          <w:szCs w:val="30"/>
          <w:lang w:bidi="en-US"/>
        </w:rPr>
        <w:t>募集说明书披露的其他信息是否真实、准确和完整，说明募集说明书编制的合规性。</w:t>
      </w:r>
    </w:p>
    <w:p w:rsidR="00DA5501" w:rsidRPr="00886796" w:rsidRDefault="007C17D1">
      <w:pPr>
        <w:adjustRightInd w:val="0"/>
        <w:snapToGrid w:val="0"/>
        <w:spacing w:line="560" w:lineRule="exact"/>
        <w:ind w:firstLineChars="200" w:firstLine="643"/>
        <w:rPr>
          <w:rFonts w:ascii="仿宋" w:eastAsia="仿宋" w:hAnsi="仿宋" w:cs="Times New Roman"/>
          <w:color w:val="000000"/>
          <w:kern w:val="0"/>
          <w:sz w:val="32"/>
          <w:szCs w:val="30"/>
          <w:lang w:bidi="en-US"/>
        </w:rPr>
      </w:pPr>
      <w:r w:rsidRPr="00886796">
        <w:rPr>
          <w:rFonts w:ascii="仿宋" w:eastAsia="仿宋" w:hAnsi="仿宋" w:cs="Times New Roman" w:hint="eastAsia"/>
          <w:b/>
          <w:color w:val="000000"/>
          <w:kern w:val="0"/>
          <w:sz w:val="32"/>
          <w:szCs w:val="30"/>
          <w:lang w:bidi="en-US"/>
        </w:rPr>
        <w:t>第一百条</w:t>
      </w:r>
      <w:r w:rsidRPr="00886796">
        <w:rPr>
          <w:rFonts w:ascii="仿宋" w:eastAsia="仿宋" w:hAnsi="仿宋" w:cs="Times New Roman"/>
          <w:b/>
          <w:color w:val="000000"/>
          <w:kern w:val="0"/>
          <w:sz w:val="32"/>
          <w:szCs w:val="30"/>
          <w:lang w:bidi="en-US"/>
        </w:rPr>
        <w:t xml:space="preserve"> </w:t>
      </w:r>
      <w:r w:rsidRPr="00886796">
        <w:rPr>
          <w:rFonts w:ascii="仿宋" w:eastAsia="仿宋" w:hAnsi="仿宋" w:cs="Times New Roman" w:hint="eastAsia"/>
          <w:bCs/>
          <w:color w:val="000000"/>
          <w:kern w:val="0"/>
          <w:sz w:val="32"/>
          <w:szCs w:val="30"/>
          <w:lang w:bidi="en-US"/>
        </w:rPr>
        <w:t>主承销商应当对</w:t>
      </w:r>
      <w:r w:rsidRPr="00886796">
        <w:rPr>
          <w:rFonts w:ascii="仿宋" w:eastAsia="仿宋" w:hAnsi="仿宋" w:cs="Times New Roman" w:hint="eastAsia"/>
          <w:color w:val="000000"/>
          <w:kern w:val="0"/>
          <w:sz w:val="32"/>
          <w:szCs w:val="30"/>
          <w:lang w:bidi="en-US"/>
        </w:rPr>
        <w:t>发行人是否存在已申报公开发行公司债券且正处于审核过程中或者前次已注册但尚未发行完毕（发行人已承诺未发行额度不再发行的除外），再次申请公开发行相同品种公司债券的情形进行核查。</w:t>
      </w:r>
    </w:p>
    <w:p w:rsidR="00DA5501" w:rsidRPr="00886796"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886796">
        <w:rPr>
          <w:rFonts w:ascii="仿宋" w:eastAsia="仿宋" w:hAnsi="仿宋" w:cs="Times New Roman" w:hint="eastAsia"/>
          <w:color w:val="000000"/>
          <w:kern w:val="0"/>
          <w:sz w:val="32"/>
          <w:szCs w:val="30"/>
          <w:lang w:bidi="en-US"/>
        </w:rPr>
        <w:t>公开发行与非公开发行、中长期和短期、公司债券创新品种等视为不同品种。</w:t>
      </w:r>
    </w:p>
    <w:p w:rsidR="00DA5501" w:rsidRPr="00886796" w:rsidRDefault="00212B03">
      <w:pPr>
        <w:adjustRightInd w:val="0"/>
        <w:snapToGrid w:val="0"/>
        <w:spacing w:line="560" w:lineRule="exact"/>
        <w:ind w:firstLineChars="200" w:firstLine="643"/>
        <w:rPr>
          <w:rFonts w:ascii="仿宋" w:eastAsia="仿宋" w:hAnsi="仿宋" w:cs="Times New Roman"/>
          <w:color w:val="000000"/>
          <w:kern w:val="0"/>
          <w:sz w:val="32"/>
          <w:szCs w:val="30"/>
          <w:lang w:bidi="en-US"/>
        </w:rPr>
      </w:pPr>
      <w:r w:rsidRPr="00886796">
        <w:rPr>
          <w:rFonts w:ascii="仿宋" w:eastAsia="仿宋" w:hAnsi="仿宋" w:cs="Times New Roman" w:hint="eastAsia"/>
          <w:b/>
          <w:color w:val="000000"/>
          <w:kern w:val="0"/>
          <w:sz w:val="32"/>
          <w:szCs w:val="30"/>
          <w:lang w:bidi="en-US"/>
        </w:rPr>
        <w:t>第一百零</w:t>
      </w:r>
      <w:r>
        <w:rPr>
          <w:rFonts w:ascii="仿宋" w:eastAsia="仿宋" w:hAnsi="仿宋" w:cs="Times New Roman" w:hint="eastAsia"/>
          <w:b/>
          <w:color w:val="000000"/>
          <w:kern w:val="0"/>
          <w:sz w:val="32"/>
          <w:szCs w:val="30"/>
          <w:lang w:bidi="en-US"/>
        </w:rPr>
        <w:t>一</w:t>
      </w:r>
      <w:r w:rsidR="007C17D1" w:rsidRPr="00886796">
        <w:rPr>
          <w:rFonts w:ascii="仿宋" w:eastAsia="仿宋" w:hAnsi="仿宋" w:cs="Times New Roman" w:hint="eastAsia"/>
          <w:b/>
          <w:color w:val="000000"/>
          <w:kern w:val="0"/>
          <w:sz w:val="32"/>
          <w:szCs w:val="30"/>
          <w:lang w:bidi="en-US"/>
        </w:rPr>
        <w:t>条</w:t>
      </w:r>
      <w:r w:rsidR="007C17D1" w:rsidRPr="00886796">
        <w:rPr>
          <w:rFonts w:ascii="仿宋" w:eastAsia="仿宋" w:hAnsi="仿宋" w:cs="Times New Roman"/>
          <w:b/>
          <w:color w:val="000000"/>
          <w:kern w:val="0"/>
          <w:sz w:val="32"/>
          <w:szCs w:val="30"/>
          <w:lang w:bidi="en-US"/>
        </w:rPr>
        <w:t xml:space="preserve"> </w:t>
      </w:r>
      <w:r w:rsidR="007C17D1" w:rsidRPr="00886796">
        <w:rPr>
          <w:rFonts w:ascii="仿宋" w:eastAsia="仿宋" w:hAnsi="仿宋" w:cs="Times New Roman" w:hint="eastAsia"/>
          <w:bCs/>
          <w:color w:val="000000"/>
          <w:kern w:val="0"/>
          <w:sz w:val="32"/>
          <w:szCs w:val="30"/>
          <w:lang w:bidi="en-US"/>
        </w:rPr>
        <w:t>主承销商应当</w:t>
      </w:r>
      <w:r w:rsidR="007C17D1" w:rsidRPr="00886796">
        <w:rPr>
          <w:rFonts w:ascii="仿宋" w:eastAsia="仿宋" w:hAnsi="仿宋" w:cs="Times New Roman" w:hint="eastAsia"/>
          <w:color w:val="000000"/>
          <w:kern w:val="0"/>
          <w:sz w:val="32"/>
          <w:szCs w:val="30"/>
          <w:lang w:bidi="en-US"/>
        </w:rPr>
        <w:t>根据《关于加强证券公司在投资银行类业务中聘请第三方等廉洁从业风险防控的意见》（中国证监会公告〔</w:t>
      </w:r>
      <w:r w:rsidR="007C17D1" w:rsidRPr="00886796">
        <w:rPr>
          <w:rFonts w:ascii="仿宋" w:eastAsia="仿宋" w:hAnsi="仿宋" w:cs="Times New Roman"/>
          <w:color w:val="000000"/>
          <w:kern w:val="0"/>
          <w:sz w:val="32"/>
          <w:szCs w:val="30"/>
          <w:lang w:bidi="en-US"/>
        </w:rPr>
        <w:t>2018〕22号），就债券承销业务中聘请第三</w:t>
      </w:r>
      <w:r w:rsidR="007C17D1" w:rsidRPr="00886796">
        <w:rPr>
          <w:rFonts w:ascii="仿宋" w:eastAsia="仿宋" w:hAnsi="仿宋" w:cs="Times New Roman" w:hint="eastAsia"/>
          <w:color w:val="000000"/>
          <w:kern w:val="0"/>
          <w:sz w:val="32"/>
          <w:szCs w:val="30"/>
          <w:lang w:bidi="en-US"/>
        </w:rPr>
        <w:t>方相关事项进行补充核查和信息披露。</w:t>
      </w:r>
    </w:p>
    <w:p w:rsidR="00DA5501" w:rsidRPr="00886796" w:rsidRDefault="00212B03">
      <w:pPr>
        <w:adjustRightInd w:val="0"/>
        <w:snapToGrid w:val="0"/>
        <w:spacing w:line="560" w:lineRule="exact"/>
        <w:ind w:firstLineChars="200" w:firstLine="643"/>
        <w:rPr>
          <w:rFonts w:ascii="仿宋" w:eastAsia="仿宋" w:hAnsi="仿宋" w:cs="Times New Roman"/>
          <w:color w:val="000000"/>
          <w:kern w:val="0"/>
          <w:sz w:val="32"/>
          <w:szCs w:val="30"/>
          <w:lang w:bidi="en-US"/>
        </w:rPr>
      </w:pPr>
      <w:r w:rsidRPr="00886796">
        <w:rPr>
          <w:rFonts w:ascii="仿宋" w:eastAsia="仿宋" w:hAnsi="仿宋" w:cs="Times New Roman" w:hint="eastAsia"/>
          <w:b/>
          <w:color w:val="000000"/>
          <w:kern w:val="0"/>
          <w:sz w:val="32"/>
          <w:szCs w:val="30"/>
          <w:lang w:bidi="en-US"/>
        </w:rPr>
        <w:t>第一百零</w:t>
      </w:r>
      <w:r>
        <w:rPr>
          <w:rFonts w:ascii="仿宋" w:eastAsia="仿宋" w:hAnsi="仿宋" w:cs="Times New Roman" w:hint="eastAsia"/>
          <w:b/>
          <w:color w:val="000000"/>
          <w:kern w:val="0"/>
          <w:sz w:val="32"/>
          <w:szCs w:val="30"/>
          <w:lang w:bidi="en-US"/>
        </w:rPr>
        <w:t>二</w:t>
      </w:r>
      <w:r w:rsidR="007C17D1" w:rsidRPr="00886796">
        <w:rPr>
          <w:rFonts w:ascii="仿宋" w:eastAsia="仿宋" w:hAnsi="仿宋" w:cs="Times New Roman" w:hint="eastAsia"/>
          <w:b/>
          <w:color w:val="000000"/>
          <w:kern w:val="0"/>
          <w:sz w:val="32"/>
          <w:szCs w:val="30"/>
          <w:lang w:bidi="en-US"/>
        </w:rPr>
        <w:t>条</w:t>
      </w:r>
      <w:r w:rsidR="008F2CD0">
        <w:rPr>
          <w:rFonts w:ascii="仿宋" w:eastAsia="仿宋" w:hAnsi="仿宋" w:cs="Times New Roman" w:hint="eastAsia"/>
          <w:color w:val="000000"/>
          <w:kern w:val="0"/>
          <w:sz w:val="32"/>
          <w:szCs w:val="30"/>
          <w:lang w:bidi="en-US"/>
        </w:rPr>
        <w:t xml:space="preserve"> 审核</w:t>
      </w:r>
      <w:r w:rsidR="009C45D2">
        <w:rPr>
          <w:rFonts w:ascii="仿宋" w:eastAsia="仿宋" w:hAnsi="仿宋" w:cs="Times New Roman" w:hint="eastAsia"/>
          <w:color w:val="000000"/>
          <w:kern w:val="0"/>
          <w:sz w:val="32"/>
          <w:szCs w:val="30"/>
          <w:lang w:bidi="en-US"/>
        </w:rPr>
        <w:t>和注册</w:t>
      </w:r>
      <w:r w:rsidR="008F2CD0">
        <w:rPr>
          <w:rFonts w:ascii="仿宋" w:eastAsia="仿宋" w:hAnsi="仿宋" w:cs="Times New Roman" w:hint="eastAsia"/>
          <w:color w:val="000000"/>
          <w:kern w:val="0"/>
          <w:sz w:val="32"/>
          <w:szCs w:val="30"/>
          <w:lang w:bidi="en-US"/>
        </w:rPr>
        <w:t>过程中，</w:t>
      </w:r>
      <w:r w:rsidR="007C17D1" w:rsidRPr="00886796">
        <w:rPr>
          <w:rFonts w:ascii="仿宋" w:eastAsia="仿宋" w:hAnsi="仿宋" w:cs="Times New Roman" w:hint="eastAsia"/>
          <w:color w:val="000000"/>
          <w:kern w:val="0"/>
          <w:sz w:val="32"/>
          <w:szCs w:val="30"/>
          <w:lang w:bidi="en-US"/>
        </w:rPr>
        <w:t>发生中国证监会、本所规定的中止</w:t>
      </w:r>
      <w:r w:rsidR="009C45D2">
        <w:rPr>
          <w:rFonts w:ascii="仿宋" w:eastAsia="仿宋" w:hAnsi="仿宋" w:cs="Times New Roman" w:hint="eastAsia"/>
          <w:color w:val="000000"/>
          <w:kern w:val="0"/>
          <w:sz w:val="32"/>
          <w:szCs w:val="30"/>
          <w:lang w:bidi="en-US"/>
        </w:rPr>
        <w:t>审核</w:t>
      </w:r>
      <w:r w:rsidR="007C17D1" w:rsidRPr="00886796">
        <w:rPr>
          <w:rFonts w:ascii="仿宋" w:eastAsia="仿宋" w:hAnsi="仿宋" w:cs="Times New Roman" w:hint="eastAsia"/>
          <w:color w:val="000000"/>
          <w:kern w:val="0"/>
          <w:sz w:val="32"/>
          <w:szCs w:val="30"/>
          <w:lang w:bidi="en-US"/>
        </w:rPr>
        <w:t>或者终止</w:t>
      </w:r>
      <w:r w:rsidR="009C45D2">
        <w:rPr>
          <w:rFonts w:ascii="仿宋" w:eastAsia="仿宋" w:hAnsi="仿宋" w:cs="Times New Roman" w:hint="eastAsia"/>
          <w:color w:val="000000"/>
          <w:kern w:val="0"/>
          <w:sz w:val="32"/>
          <w:szCs w:val="30"/>
          <w:lang w:bidi="en-US"/>
        </w:rPr>
        <w:t>审核</w:t>
      </w:r>
      <w:r w:rsidR="007C17D1" w:rsidRPr="00886796">
        <w:rPr>
          <w:rFonts w:ascii="仿宋" w:eastAsia="仿宋" w:hAnsi="仿宋" w:cs="Times New Roman" w:hint="eastAsia"/>
          <w:color w:val="000000"/>
          <w:kern w:val="0"/>
          <w:sz w:val="32"/>
          <w:szCs w:val="30"/>
          <w:lang w:bidi="en-US"/>
        </w:rPr>
        <w:t>情形的，主承销商应当按照规定核查并出具核查意见。</w:t>
      </w:r>
    </w:p>
    <w:p w:rsidR="00DA5501" w:rsidRPr="00886796" w:rsidRDefault="00212B03">
      <w:pPr>
        <w:adjustRightInd w:val="0"/>
        <w:snapToGrid w:val="0"/>
        <w:spacing w:line="560" w:lineRule="exact"/>
        <w:ind w:firstLineChars="200" w:firstLine="643"/>
        <w:rPr>
          <w:rFonts w:ascii="仿宋" w:eastAsia="仿宋" w:hAnsi="仿宋" w:cs="Times New Roman"/>
          <w:b/>
          <w:color w:val="000000"/>
          <w:kern w:val="0"/>
          <w:sz w:val="32"/>
          <w:szCs w:val="30"/>
          <w:lang w:bidi="en-US"/>
        </w:rPr>
      </w:pPr>
      <w:bookmarkStart w:id="11" w:name="_TOC_250008"/>
      <w:bookmarkEnd w:id="11"/>
      <w:r w:rsidRPr="00886796">
        <w:rPr>
          <w:rFonts w:ascii="仿宋" w:eastAsia="仿宋" w:hAnsi="仿宋" w:cs="Times New Roman" w:hint="eastAsia"/>
          <w:b/>
          <w:color w:val="000000"/>
          <w:kern w:val="0"/>
          <w:sz w:val="32"/>
          <w:szCs w:val="30"/>
          <w:lang w:bidi="en-US"/>
        </w:rPr>
        <w:t>第一百零</w:t>
      </w:r>
      <w:r>
        <w:rPr>
          <w:rFonts w:ascii="仿宋" w:eastAsia="仿宋" w:hAnsi="仿宋" w:cs="Times New Roman" w:hint="eastAsia"/>
          <w:b/>
          <w:color w:val="000000"/>
          <w:kern w:val="0"/>
          <w:sz w:val="32"/>
          <w:szCs w:val="30"/>
          <w:lang w:bidi="en-US"/>
        </w:rPr>
        <w:t>三</w:t>
      </w:r>
      <w:r w:rsidR="007C17D1" w:rsidRPr="00886796">
        <w:rPr>
          <w:rFonts w:ascii="仿宋" w:eastAsia="仿宋" w:hAnsi="仿宋" w:cs="Times New Roman" w:hint="eastAsia"/>
          <w:b/>
          <w:color w:val="000000"/>
          <w:kern w:val="0"/>
          <w:sz w:val="32"/>
          <w:szCs w:val="30"/>
          <w:lang w:bidi="en-US"/>
        </w:rPr>
        <w:t>条</w:t>
      </w:r>
      <w:r w:rsidR="007C17D1" w:rsidRPr="00886796">
        <w:rPr>
          <w:rFonts w:ascii="仿宋" w:eastAsia="仿宋" w:hAnsi="仿宋" w:cs="Times New Roman"/>
          <w:b/>
          <w:color w:val="000000"/>
          <w:kern w:val="0"/>
          <w:sz w:val="32"/>
          <w:szCs w:val="30"/>
          <w:lang w:bidi="en-US"/>
        </w:rPr>
        <w:t xml:space="preserve"> </w:t>
      </w:r>
      <w:r w:rsidR="007C17D1" w:rsidRPr="00886796">
        <w:rPr>
          <w:rFonts w:ascii="仿宋" w:eastAsia="仿宋" w:hAnsi="仿宋" w:cs="Times New Roman" w:hint="eastAsia"/>
          <w:color w:val="000000"/>
          <w:kern w:val="0"/>
          <w:sz w:val="32"/>
          <w:szCs w:val="30"/>
          <w:lang w:bidi="en-US"/>
        </w:rPr>
        <w:t>发行人律师应当按照《</w:t>
      </w:r>
      <w:r w:rsidR="008F2CD0">
        <w:rPr>
          <w:rFonts w:ascii="仿宋" w:eastAsia="仿宋" w:hAnsi="仿宋" w:cs="Times New Roman" w:hint="eastAsia"/>
          <w:color w:val="000000"/>
          <w:kern w:val="0"/>
          <w:sz w:val="32"/>
          <w:szCs w:val="30"/>
          <w:lang w:bidi="en-US"/>
        </w:rPr>
        <w:t>发行与交易</w:t>
      </w:r>
      <w:r w:rsidR="007C17D1" w:rsidRPr="00886796">
        <w:rPr>
          <w:rFonts w:ascii="仿宋" w:eastAsia="仿宋" w:hAnsi="仿宋" w:cs="Times New Roman" w:hint="eastAsia"/>
          <w:color w:val="000000"/>
          <w:kern w:val="0"/>
          <w:sz w:val="32"/>
          <w:szCs w:val="30"/>
          <w:lang w:bidi="en-US"/>
        </w:rPr>
        <w:t>管理办法》</w:t>
      </w:r>
      <w:r w:rsidR="007C17D1" w:rsidRPr="00886796">
        <w:rPr>
          <w:rFonts w:ascii="仿宋" w:eastAsia="仿宋" w:hAnsi="仿宋" w:cs="Times New Roman" w:hint="eastAsia"/>
          <w:color w:val="000000"/>
          <w:kern w:val="0"/>
          <w:sz w:val="32"/>
          <w:szCs w:val="30"/>
          <w:lang w:bidi="en-US"/>
        </w:rPr>
        <w:lastRenderedPageBreak/>
        <w:t>及其相关执业规范的相关规定开展核查工作，审慎撰写</w:t>
      </w:r>
      <w:r w:rsidR="001B4674" w:rsidRPr="00886796">
        <w:rPr>
          <w:rFonts w:ascii="仿宋" w:eastAsia="仿宋" w:hAnsi="仿宋" w:cs="Times New Roman" w:hint="eastAsia"/>
          <w:color w:val="000000"/>
          <w:kern w:val="0"/>
          <w:sz w:val="32"/>
          <w:szCs w:val="30"/>
          <w:lang w:bidi="en-US"/>
        </w:rPr>
        <w:t>《法律意见书》</w:t>
      </w:r>
      <w:r w:rsidR="007C17D1" w:rsidRPr="00886796">
        <w:rPr>
          <w:rFonts w:ascii="仿宋" w:eastAsia="仿宋" w:hAnsi="仿宋" w:cs="Times New Roman" w:hint="eastAsia"/>
          <w:color w:val="000000"/>
          <w:kern w:val="0"/>
          <w:sz w:val="32"/>
          <w:szCs w:val="30"/>
          <w:lang w:bidi="en-US"/>
        </w:rPr>
        <w:t>。《法律意见书》主要内容应当包括：</w:t>
      </w:r>
    </w:p>
    <w:p w:rsidR="00DA5501" w:rsidRPr="00886796"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886796">
        <w:rPr>
          <w:rFonts w:ascii="仿宋" w:eastAsia="仿宋" w:hAnsi="仿宋" w:cs="Times New Roman" w:hint="eastAsia"/>
          <w:color w:val="000000"/>
          <w:kern w:val="0"/>
          <w:sz w:val="32"/>
          <w:szCs w:val="30"/>
          <w:lang w:bidi="en-US"/>
        </w:rPr>
        <w:t>（一）发行人基本情况。</w:t>
      </w:r>
    </w:p>
    <w:p w:rsidR="00DA5501" w:rsidRPr="00886796"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886796">
        <w:rPr>
          <w:rFonts w:ascii="仿宋" w:eastAsia="仿宋" w:hAnsi="仿宋" w:cs="Times New Roman" w:hint="eastAsia"/>
          <w:color w:val="000000"/>
          <w:kern w:val="0"/>
          <w:sz w:val="32"/>
          <w:szCs w:val="30"/>
          <w:lang w:bidi="en-US"/>
        </w:rPr>
        <w:t>（二）本次债券主要发行条款。</w:t>
      </w:r>
    </w:p>
    <w:p w:rsidR="00DA5501" w:rsidRPr="00886796"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886796">
        <w:rPr>
          <w:rFonts w:ascii="仿宋" w:eastAsia="仿宋" w:hAnsi="仿宋" w:cs="Times New Roman" w:hint="eastAsia"/>
          <w:color w:val="000000"/>
          <w:kern w:val="0"/>
          <w:sz w:val="32"/>
          <w:szCs w:val="30"/>
          <w:lang w:bidi="en-US"/>
        </w:rPr>
        <w:t>（三）法律意见。律师应当在法律意见中逐项说明：采取的核查方式</w:t>
      </w:r>
      <w:r w:rsidR="00973A04">
        <w:rPr>
          <w:rFonts w:ascii="仿宋" w:eastAsia="仿宋" w:hAnsi="仿宋" w:cs="Times New Roman" w:hint="eastAsia"/>
          <w:color w:val="000000"/>
          <w:kern w:val="0"/>
          <w:sz w:val="32"/>
          <w:szCs w:val="30"/>
          <w:lang w:bidi="en-US"/>
        </w:rPr>
        <w:t>，以及</w:t>
      </w:r>
      <w:r w:rsidRPr="00886796">
        <w:rPr>
          <w:rFonts w:ascii="仿宋" w:eastAsia="仿宋" w:hAnsi="仿宋" w:cs="Times New Roman" w:hint="eastAsia"/>
          <w:color w:val="000000"/>
          <w:kern w:val="0"/>
          <w:sz w:val="32"/>
          <w:szCs w:val="30"/>
          <w:lang w:bidi="en-US"/>
        </w:rPr>
        <w:t>经核查后相关事项的主要情况、结果和法律意见。</w:t>
      </w:r>
    </w:p>
    <w:p w:rsidR="00DA5501" w:rsidRPr="00886796"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166E29">
        <w:rPr>
          <w:rFonts w:ascii="仿宋" w:eastAsia="仿宋" w:hAnsi="仿宋" w:cs="Times New Roman" w:hint="eastAsia"/>
          <w:kern w:val="0"/>
          <w:sz w:val="32"/>
          <w:szCs w:val="24"/>
          <w:lang w:bidi="en-US"/>
        </w:rPr>
        <w:t>（四）结论性意见。</w:t>
      </w:r>
      <w:r w:rsidRPr="00F02857">
        <w:rPr>
          <w:rFonts w:ascii="仿宋" w:eastAsia="仿宋" w:hAnsi="仿宋" w:cs="Times New Roman" w:hint="eastAsia"/>
          <w:color w:val="000000"/>
          <w:kern w:val="0"/>
          <w:sz w:val="32"/>
          <w:szCs w:val="30"/>
          <w:lang w:bidi="en-US"/>
        </w:rPr>
        <w:t>法律意见结尾应当有专门段落，发表核查结论性意见，包括但不限于：发行人公开发行公司债券是否符合法律法规规定的发行条件，发行人是否履行规定的内部决策程序，相关中介机构及其签字人员是否符合参与公司债券发行业务的相关规定，相关增信措施是否符合法律法规</w:t>
      </w:r>
      <w:r w:rsidR="00973A04">
        <w:rPr>
          <w:rFonts w:ascii="仿宋" w:eastAsia="仿宋" w:hAnsi="仿宋" w:cs="Times New Roman" w:hint="eastAsia"/>
          <w:color w:val="000000"/>
          <w:kern w:val="0"/>
          <w:sz w:val="32"/>
          <w:szCs w:val="30"/>
          <w:lang w:bidi="en-US"/>
        </w:rPr>
        <w:t>和</w:t>
      </w:r>
      <w:r w:rsidRPr="00F02857">
        <w:rPr>
          <w:rFonts w:ascii="仿宋" w:eastAsia="仿宋" w:hAnsi="仿宋" w:cs="Times New Roman" w:hint="eastAsia"/>
          <w:color w:val="000000"/>
          <w:kern w:val="0"/>
          <w:sz w:val="32"/>
          <w:szCs w:val="30"/>
          <w:lang w:bidi="en-US"/>
        </w:rPr>
        <w:t>业务规则规定（如有），募集说明书相关内容是否符合法律法规</w:t>
      </w:r>
      <w:r w:rsidR="00973A04">
        <w:rPr>
          <w:rFonts w:ascii="仿宋" w:eastAsia="仿宋" w:hAnsi="仿宋" w:cs="Times New Roman" w:hint="eastAsia"/>
          <w:color w:val="000000"/>
          <w:kern w:val="0"/>
          <w:sz w:val="32"/>
          <w:szCs w:val="30"/>
          <w:lang w:bidi="en-US"/>
        </w:rPr>
        <w:t>和</w:t>
      </w:r>
      <w:r w:rsidRPr="00F02857">
        <w:rPr>
          <w:rFonts w:ascii="仿宋" w:eastAsia="仿宋" w:hAnsi="仿宋" w:cs="Times New Roman" w:hint="eastAsia"/>
          <w:color w:val="000000"/>
          <w:kern w:val="0"/>
          <w:sz w:val="32"/>
          <w:szCs w:val="30"/>
          <w:lang w:bidi="en-US"/>
        </w:rPr>
        <w:t>业务规则规定，《</w:t>
      </w:r>
      <w:r w:rsidRPr="00886796">
        <w:rPr>
          <w:rFonts w:ascii="仿宋" w:eastAsia="仿宋" w:hAnsi="仿宋" w:cs="Times New Roman" w:hint="eastAsia"/>
          <w:color w:val="000000"/>
          <w:kern w:val="0"/>
          <w:sz w:val="32"/>
          <w:szCs w:val="30"/>
          <w:lang w:bidi="en-US"/>
        </w:rPr>
        <w:t>债券持有人会议规则》和《债券受托管理协议》是否符合法律法规</w:t>
      </w:r>
      <w:r w:rsidR="00973A04">
        <w:rPr>
          <w:rFonts w:ascii="仿宋" w:eastAsia="仿宋" w:hAnsi="仿宋" w:cs="Times New Roman" w:hint="eastAsia"/>
          <w:color w:val="000000"/>
          <w:kern w:val="0"/>
          <w:sz w:val="32"/>
          <w:szCs w:val="30"/>
          <w:lang w:bidi="en-US"/>
        </w:rPr>
        <w:t>和</w:t>
      </w:r>
      <w:r w:rsidRPr="00886796">
        <w:rPr>
          <w:rFonts w:ascii="仿宋" w:eastAsia="仿宋" w:hAnsi="仿宋" w:cs="Times New Roman" w:hint="eastAsia"/>
          <w:color w:val="000000"/>
          <w:kern w:val="0"/>
          <w:sz w:val="32"/>
          <w:szCs w:val="30"/>
          <w:lang w:bidi="en-US"/>
        </w:rPr>
        <w:t>业务规则规定等。</w:t>
      </w:r>
    </w:p>
    <w:p w:rsidR="00DA5501" w:rsidRPr="00886796"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886796">
        <w:rPr>
          <w:rFonts w:ascii="仿宋" w:eastAsia="仿宋" w:hAnsi="仿宋" w:cs="Times New Roman" w:hint="eastAsia"/>
          <w:color w:val="000000"/>
          <w:kern w:val="0"/>
          <w:sz w:val="32"/>
          <w:szCs w:val="30"/>
          <w:lang w:bidi="en-US"/>
        </w:rPr>
        <w:t>（五）律师事务所承诺。律师事务所对已按照规定进行尽职核查的承诺。</w:t>
      </w:r>
    </w:p>
    <w:p w:rsidR="00DA5501" w:rsidRPr="00886796" w:rsidRDefault="007C17D1">
      <w:pPr>
        <w:adjustRightInd w:val="0"/>
        <w:snapToGrid w:val="0"/>
        <w:spacing w:line="560" w:lineRule="exact"/>
        <w:ind w:firstLineChars="200" w:firstLine="640"/>
        <w:rPr>
          <w:rFonts w:ascii="仿宋" w:eastAsia="仿宋" w:hAnsi="仿宋" w:cs="Times New Roman"/>
          <w:color w:val="000000"/>
          <w:kern w:val="0"/>
          <w:sz w:val="32"/>
          <w:szCs w:val="30"/>
          <w:lang w:bidi="en-US"/>
        </w:rPr>
      </w:pPr>
      <w:r w:rsidRPr="00886796">
        <w:rPr>
          <w:rFonts w:ascii="仿宋" w:eastAsia="仿宋" w:hAnsi="仿宋" w:cs="Times New Roman" w:hint="eastAsia"/>
          <w:color w:val="000000"/>
          <w:kern w:val="0"/>
          <w:sz w:val="32"/>
          <w:szCs w:val="30"/>
          <w:lang w:bidi="en-US"/>
        </w:rPr>
        <w:t>（六）中国证监会、本所</w:t>
      </w:r>
      <w:r w:rsidR="008F2CD0">
        <w:rPr>
          <w:rFonts w:ascii="仿宋" w:eastAsia="仿宋" w:hAnsi="仿宋" w:cs="Times New Roman" w:hint="eastAsia"/>
          <w:color w:val="000000"/>
          <w:kern w:val="0"/>
          <w:sz w:val="32"/>
          <w:szCs w:val="30"/>
          <w:lang w:bidi="en-US"/>
        </w:rPr>
        <w:t>要求</w:t>
      </w:r>
      <w:r w:rsidRPr="00886796">
        <w:rPr>
          <w:rFonts w:ascii="仿宋" w:eastAsia="仿宋" w:hAnsi="仿宋" w:cs="Times New Roman" w:hint="eastAsia"/>
          <w:color w:val="000000"/>
          <w:kern w:val="0"/>
          <w:sz w:val="32"/>
          <w:szCs w:val="30"/>
          <w:lang w:bidi="en-US"/>
        </w:rPr>
        <w:t>的其他内容以及律师认为需要反映的其他内容。</w:t>
      </w:r>
    </w:p>
    <w:p w:rsidR="00DA5501" w:rsidRPr="00886796" w:rsidRDefault="00212B03">
      <w:pPr>
        <w:adjustRightInd w:val="0"/>
        <w:snapToGrid w:val="0"/>
        <w:spacing w:line="560" w:lineRule="exact"/>
        <w:ind w:firstLineChars="200" w:firstLine="643"/>
        <w:rPr>
          <w:rFonts w:ascii="仿宋" w:eastAsia="仿宋" w:hAnsi="仿宋" w:cs="Times New Roman"/>
          <w:color w:val="000000"/>
          <w:kern w:val="0"/>
          <w:sz w:val="32"/>
          <w:szCs w:val="30"/>
          <w:lang w:bidi="en-US"/>
        </w:rPr>
      </w:pPr>
      <w:r w:rsidRPr="00886796">
        <w:rPr>
          <w:rFonts w:ascii="仿宋" w:eastAsia="仿宋" w:hAnsi="仿宋" w:cs="Times New Roman" w:hint="eastAsia"/>
          <w:b/>
          <w:color w:val="000000"/>
          <w:kern w:val="0"/>
          <w:sz w:val="32"/>
          <w:szCs w:val="30"/>
          <w:lang w:bidi="en-US"/>
        </w:rPr>
        <w:t>第一百零</w:t>
      </w:r>
      <w:r>
        <w:rPr>
          <w:rFonts w:ascii="仿宋" w:eastAsia="仿宋" w:hAnsi="仿宋" w:cs="Times New Roman" w:hint="eastAsia"/>
          <w:b/>
          <w:color w:val="000000"/>
          <w:kern w:val="0"/>
          <w:sz w:val="32"/>
          <w:szCs w:val="30"/>
          <w:lang w:bidi="en-US"/>
        </w:rPr>
        <w:t>四</w:t>
      </w:r>
      <w:r w:rsidR="007C17D1" w:rsidRPr="00886796">
        <w:rPr>
          <w:rFonts w:ascii="仿宋" w:eastAsia="仿宋" w:hAnsi="仿宋" w:cs="Times New Roman" w:hint="eastAsia"/>
          <w:b/>
          <w:color w:val="000000"/>
          <w:kern w:val="0"/>
          <w:sz w:val="32"/>
          <w:szCs w:val="30"/>
          <w:lang w:bidi="en-US"/>
        </w:rPr>
        <w:t>条</w:t>
      </w:r>
      <w:r w:rsidR="007C17D1" w:rsidRPr="00886796">
        <w:rPr>
          <w:rFonts w:ascii="仿宋" w:eastAsia="仿宋" w:hAnsi="仿宋" w:cs="Times New Roman"/>
          <w:b/>
          <w:color w:val="000000"/>
          <w:kern w:val="0"/>
          <w:sz w:val="32"/>
          <w:szCs w:val="30"/>
          <w:lang w:bidi="en-US"/>
        </w:rPr>
        <w:t xml:space="preserve"> </w:t>
      </w:r>
      <w:r w:rsidR="007C17D1" w:rsidRPr="00886796">
        <w:rPr>
          <w:rFonts w:ascii="仿宋" w:eastAsia="仿宋" w:hAnsi="仿宋" w:cs="Times New Roman" w:hint="eastAsia"/>
          <w:color w:val="000000"/>
          <w:kern w:val="0"/>
          <w:sz w:val="32"/>
          <w:szCs w:val="30"/>
          <w:lang w:bidi="en-US"/>
        </w:rPr>
        <w:t>律师应当参照本指引第八十条、</w:t>
      </w:r>
      <w:r w:rsidR="008F2CD0" w:rsidRPr="00886796">
        <w:rPr>
          <w:rFonts w:ascii="仿宋" w:eastAsia="仿宋" w:hAnsi="仿宋" w:cs="Times New Roman" w:hint="eastAsia"/>
          <w:color w:val="000000"/>
          <w:kern w:val="0"/>
          <w:sz w:val="32"/>
          <w:szCs w:val="30"/>
          <w:lang w:bidi="en-US"/>
        </w:rPr>
        <w:t>第八十</w:t>
      </w:r>
      <w:r w:rsidR="008F2CD0">
        <w:rPr>
          <w:rFonts w:ascii="仿宋" w:eastAsia="仿宋" w:hAnsi="仿宋" w:cs="Times New Roman" w:hint="eastAsia"/>
          <w:color w:val="000000"/>
          <w:kern w:val="0"/>
          <w:sz w:val="32"/>
          <w:szCs w:val="30"/>
          <w:lang w:bidi="en-US"/>
        </w:rPr>
        <w:t>二</w:t>
      </w:r>
      <w:r w:rsidR="007C17D1" w:rsidRPr="00886796">
        <w:rPr>
          <w:rFonts w:ascii="仿宋" w:eastAsia="仿宋" w:hAnsi="仿宋" w:cs="Times New Roman" w:hint="eastAsia"/>
          <w:color w:val="000000"/>
          <w:kern w:val="0"/>
          <w:sz w:val="32"/>
          <w:szCs w:val="30"/>
          <w:lang w:bidi="en-US"/>
        </w:rPr>
        <w:t>条至</w:t>
      </w:r>
      <w:r w:rsidR="008F2CD0" w:rsidRPr="00886796">
        <w:rPr>
          <w:rFonts w:ascii="仿宋" w:eastAsia="仿宋" w:hAnsi="仿宋" w:cs="Times New Roman" w:hint="eastAsia"/>
          <w:color w:val="000000"/>
          <w:kern w:val="0"/>
          <w:sz w:val="32"/>
          <w:szCs w:val="30"/>
          <w:lang w:bidi="en-US"/>
        </w:rPr>
        <w:t>第一百零</w:t>
      </w:r>
      <w:r w:rsidR="008F2CD0">
        <w:rPr>
          <w:rFonts w:ascii="仿宋" w:eastAsia="仿宋" w:hAnsi="仿宋" w:cs="Times New Roman" w:hint="eastAsia"/>
          <w:color w:val="000000"/>
          <w:kern w:val="0"/>
          <w:sz w:val="32"/>
          <w:szCs w:val="30"/>
          <w:lang w:bidi="en-US"/>
        </w:rPr>
        <w:t>二</w:t>
      </w:r>
      <w:r w:rsidR="007C17D1" w:rsidRPr="00886796">
        <w:rPr>
          <w:rFonts w:ascii="仿宋" w:eastAsia="仿宋" w:hAnsi="仿宋" w:cs="Times New Roman" w:hint="eastAsia"/>
          <w:color w:val="000000"/>
          <w:kern w:val="0"/>
          <w:sz w:val="32"/>
          <w:szCs w:val="30"/>
          <w:lang w:bidi="en-US"/>
        </w:rPr>
        <w:t>条对相关事项进行核查，并在《法律意见书》中发表明确意见。</w:t>
      </w:r>
    </w:p>
    <w:p w:rsidR="00DA5501" w:rsidRDefault="00212B03">
      <w:pPr>
        <w:adjustRightInd w:val="0"/>
        <w:snapToGrid w:val="0"/>
        <w:spacing w:line="560" w:lineRule="exact"/>
        <w:ind w:firstLineChars="200" w:firstLine="643"/>
        <w:rPr>
          <w:rFonts w:ascii="仿宋" w:eastAsia="仿宋" w:hAnsi="仿宋" w:cs="Times New Roman"/>
          <w:color w:val="000000"/>
          <w:kern w:val="0"/>
          <w:sz w:val="32"/>
          <w:szCs w:val="30"/>
          <w:lang w:bidi="en-US"/>
        </w:rPr>
      </w:pPr>
      <w:r w:rsidRPr="00886796">
        <w:rPr>
          <w:rFonts w:ascii="仿宋" w:eastAsia="仿宋" w:hAnsi="仿宋" w:cs="Times New Roman" w:hint="eastAsia"/>
          <w:b/>
          <w:color w:val="000000"/>
          <w:kern w:val="0"/>
          <w:sz w:val="32"/>
          <w:szCs w:val="30"/>
          <w:lang w:bidi="en-US"/>
        </w:rPr>
        <w:t>第一百零</w:t>
      </w:r>
      <w:r>
        <w:rPr>
          <w:rFonts w:ascii="仿宋" w:eastAsia="仿宋" w:hAnsi="仿宋" w:cs="Times New Roman" w:hint="eastAsia"/>
          <w:b/>
          <w:color w:val="000000"/>
          <w:kern w:val="0"/>
          <w:sz w:val="32"/>
          <w:szCs w:val="30"/>
          <w:lang w:bidi="en-US"/>
        </w:rPr>
        <w:t>五</w:t>
      </w:r>
      <w:r w:rsidR="007C17D1" w:rsidRPr="00886796">
        <w:rPr>
          <w:rFonts w:ascii="仿宋" w:eastAsia="仿宋" w:hAnsi="仿宋" w:cs="Times New Roman" w:hint="eastAsia"/>
          <w:b/>
          <w:color w:val="000000"/>
          <w:kern w:val="0"/>
          <w:sz w:val="32"/>
          <w:szCs w:val="30"/>
          <w:lang w:bidi="en-US"/>
        </w:rPr>
        <w:t>条</w:t>
      </w:r>
      <w:r w:rsidR="007C17D1" w:rsidRPr="00886796">
        <w:rPr>
          <w:rFonts w:ascii="仿宋" w:eastAsia="仿宋" w:hAnsi="仿宋" w:cs="Times New Roman"/>
          <w:color w:val="000000"/>
          <w:kern w:val="0"/>
          <w:sz w:val="32"/>
          <w:szCs w:val="30"/>
          <w:lang w:bidi="en-US"/>
        </w:rPr>
        <w:t xml:space="preserve"> 律师应当在法律意见书中就募集说明书约定</w:t>
      </w:r>
      <w:r w:rsidR="007C17D1" w:rsidRPr="00886796">
        <w:rPr>
          <w:rFonts w:ascii="仿宋" w:eastAsia="仿宋" w:hAnsi="仿宋" w:cs="Times New Roman"/>
          <w:color w:val="000000"/>
          <w:kern w:val="0"/>
          <w:sz w:val="32"/>
          <w:szCs w:val="30"/>
          <w:lang w:bidi="en-US"/>
        </w:rPr>
        <w:lastRenderedPageBreak/>
        <w:t>的争议解决机制是否符合法律法规的规定</w:t>
      </w:r>
      <w:r w:rsidR="00973A04">
        <w:rPr>
          <w:rFonts w:ascii="仿宋" w:eastAsia="仿宋" w:hAnsi="仿宋" w:cs="Times New Roman" w:hint="eastAsia"/>
          <w:color w:val="000000"/>
          <w:kern w:val="0"/>
          <w:sz w:val="32"/>
          <w:szCs w:val="30"/>
          <w:lang w:bidi="en-US"/>
        </w:rPr>
        <w:t>进行核查并发表</w:t>
      </w:r>
      <w:r w:rsidR="007C17D1" w:rsidRPr="00886796">
        <w:rPr>
          <w:rFonts w:ascii="仿宋" w:eastAsia="仿宋" w:hAnsi="仿宋" w:cs="Times New Roman"/>
          <w:color w:val="000000"/>
          <w:kern w:val="0"/>
          <w:sz w:val="32"/>
          <w:szCs w:val="30"/>
          <w:lang w:bidi="en-US"/>
        </w:rPr>
        <w:t>意见。</w:t>
      </w:r>
    </w:p>
    <w:p w:rsidR="000968AD" w:rsidRPr="00166E29" w:rsidRDefault="000968AD" w:rsidP="000968AD">
      <w:pPr>
        <w:adjustRightInd w:val="0"/>
        <w:snapToGrid w:val="0"/>
        <w:spacing w:line="560" w:lineRule="exact"/>
        <w:ind w:firstLineChars="200" w:firstLine="640"/>
        <w:rPr>
          <w:rFonts w:ascii="仿宋" w:eastAsia="仿宋" w:hAnsi="仿宋" w:cs="Times New Roman"/>
          <w:color w:val="000000"/>
          <w:sz w:val="32"/>
          <w:szCs w:val="30"/>
        </w:rPr>
      </w:pPr>
    </w:p>
    <w:p w:rsidR="00DA5501" w:rsidRDefault="007C17D1">
      <w:pPr>
        <w:adjustRightInd w:val="0"/>
        <w:snapToGrid w:val="0"/>
        <w:spacing w:line="560" w:lineRule="exact"/>
        <w:jc w:val="center"/>
        <w:outlineLvl w:val="0"/>
        <w:rPr>
          <w:rFonts w:ascii="Times New Roman" w:eastAsia="黑体" w:hAnsi="Times New Roman" w:cs="Times New Roman"/>
          <w:bCs/>
          <w:color w:val="000000"/>
          <w:kern w:val="0"/>
          <w:sz w:val="32"/>
          <w:szCs w:val="30"/>
        </w:rPr>
      </w:pPr>
      <w:bookmarkStart w:id="12" w:name="_Toc96687523"/>
      <w:r>
        <w:rPr>
          <w:rFonts w:ascii="Times New Roman" w:eastAsia="黑体" w:hAnsi="Times New Roman" w:cs="Times New Roman" w:hint="eastAsia"/>
          <w:bCs/>
          <w:color w:val="000000"/>
          <w:kern w:val="0"/>
          <w:sz w:val="32"/>
          <w:szCs w:val="30"/>
        </w:rPr>
        <w:t>第五章</w:t>
      </w:r>
      <w:r>
        <w:rPr>
          <w:rFonts w:ascii="Times New Roman" w:eastAsia="黑体" w:hAnsi="Times New Roman" w:cs="Times New Roman"/>
          <w:bCs/>
          <w:color w:val="000000"/>
          <w:kern w:val="0"/>
          <w:sz w:val="32"/>
          <w:szCs w:val="30"/>
        </w:rPr>
        <w:t xml:space="preserve"> </w:t>
      </w:r>
      <w:r>
        <w:rPr>
          <w:rFonts w:ascii="Times New Roman" w:eastAsia="黑体" w:hAnsi="Times New Roman" w:cs="Times New Roman" w:hint="eastAsia"/>
          <w:bCs/>
          <w:color w:val="000000"/>
          <w:kern w:val="0"/>
          <w:sz w:val="32"/>
          <w:szCs w:val="30"/>
        </w:rPr>
        <w:t>附则</w:t>
      </w:r>
      <w:bookmarkEnd w:id="12"/>
    </w:p>
    <w:p w:rsidR="00DA5501" w:rsidRDefault="00212B03" w:rsidP="009C45D2">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sz w:val="32"/>
          <w:szCs w:val="30"/>
        </w:rPr>
        <w:t>第</w:t>
      </w:r>
      <w:r>
        <w:rPr>
          <w:rFonts w:ascii="仿宋" w:eastAsia="仿宋" w:hAnsi="仿宋" w:cs="Times New Roman" w:hint="eastAsia"/>
          <w:b/>
          <w:color w:val="000000"/>
          <w:kern w:val="0"/>
          <w:sz w:val="32"/>
          <w:szCs w:val="30"/>
          <w:lang w:bidi="en-US"/>
        </w:rPr>
        <w:t>一百零六</w:t>
      </w:r>
      <w:r w:rsidR="007C17D1">
        <w:rPr>
          <w:rFonts w:ascii="仿宋" w:eastAsia="仿宋" w:hAnsi="仿宋" w:cs="Times New Roman" w:hint="eastAsia"/>
          <w:b/>
          <w:color w:val="000000"/>
          <w:sz w:val="32"/>
          <w:szCs w:val="30"/>
        </w:rPr>
        <w:t>条</w:t>
      </w:r>
      <w:r w:rsidR="007C17D1">
        <w:rPr>
          <w:rFonts w:ascii="仿宋" w:eastAsia="仿宋" w:hAnsi="仿宋" w:cs="Times New Roman" w:hint="eastAsia"/>
          <w:color w:val="000000"/>
          <w:sz w:val="32"/>
          <w:szCs w:val="30"/>
        </w:rPr>
        <w:t xml:space="preserve"> 发行人、</w:t>
      </w:r>
      <w:r w:rsidR="007C17D1">
        <w:rPr>
          <w:rFonts w:ascii="仿宋" w:eastAsia="仿宋" w:hAnsi="仿宋" w:cs="Times New Roman" w:hint="eastAsia"/>
          <w:color w:val="000000"/>
          <w:kern w:val="0"/>
          <w:sz w:val="32"/>
          <w:szCs w:val="30"/>
          <w:lang w:bidi="en-US"/>
        </w:rPr>
        <w:t>主承销商和</w:t>
      </w:r>
      <w:r w:rsidR="007C17D1">
        <w:rPr>
          <w:rFonts w:ascii="仿宋_GB2312" w:eastAsia="仿宋_GB2312" w:hAnsi="仿宋_GB2312" w:hint="eastAsia"/>
          <w:sz w:val="32"/>
          <w:szCs w:val="32"/>
        </w:rPr>
        <w:t>证券服务机构</w:t>
      </w:r>
      <w:r w:rsidR="007C17D1">
        <w:rPr>
          <w:rFonts w:ascii="仿宋" w:eastAsia="仿宋" w:hAnsi="仿宋" w:cs="Times New Roman" w:hint="eastAsia"/>
          <w:color w:val="000000"/>
          <w:sz w:val="32"/>
          <w:szCs w:val="30"/>
        </w:rPr>
        <w:t>违反本指引的，本所可以根据相关业务规则采取自律监管措施或者纪律处分。</w:t>
      </w:r>
    </w:p>
    <w:p w:rsidR="00DA5501" w:rsidRDefault="00212B03">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bCs/>
          <w:color w:val="000000"/>
          <w:sz w:val="32"/>
          <w:szCs w:val="30"/>
        </w:rPr>
        <w:t>第</w:t>
      </w:r>
      <w:r>
        <w:rPr>
          <w:rFonts w:ascii="仿宋" w:eastAsia="仿宋" w:hAnsi="仿宋" w:cs="Times New Roman" w:hint="eastAsia"/>
          <w:b/>
          <w:color w:val="000000"/>
          <w:kern w:val="0"/>
          <w:sz w:val="32"/>
          <w:szCs w:val="30"/>
          <w:lang w:bidi="en-US"/>
        </w:rPr>
        <w:t>一百零</w:t>
      </w:r>
      <w:r>
        <w:rPr>
          <w:rFonts w:ascii="仿宋" w:eastAsia="仿宋" w:hAnsi="仿宋" w:cs="Times New Roman" w:hint="eastAsia"/>
          <w:b/>
          <w:bCs/>
          <w:color w:val="000000"/>
          <w:sz w:val="32"/>
          <w:szCs w:val="30"/>
        </w:rPr>
        <w:t>七</w:t>
      </w:r>
      <w:r w:rsidR="007C17D1">
        <w:rPr>
          <w:rFonts w:ascii="仿宋" w:eastAsia="仿宋" w:hAnsi="仿宋" w:cs="Times New Roman" w:hint="eastAsia"/>
          <w:b/>
          <w:bCs/>
          <w:color w:val="000000"/>
          <w:sz w:val="32"/>
          <w:szCs w:val="30"/>
        </w:rPr>
        <w:t>条</w:t>
      </w:r>
      <w:r w:rsidR="007C17D1">
        <w:rPr>
          <w:rFonts w:ascii="仿宋" w:eastAsia="仿宋" w:hAnsi="仿宋" w:cs="Times New Roman" w:hint="eastAsia"/>
          <w:color w:val="000000"/>
          <w:sz w:val="32"/>
          <w:szCs w:val="30"/>
        </w:rPr>
        <w:t xml:space="preserve"> 本指引由本所负责解释。</w:t>
      </w:r>
    </w:p>
    <w:p w:rsidR="00DA5501" w:rsidRDefault="00212B03">
      <w:pPr>
        <w:adjustRightInd w:val="0"/>
        <w:snapToGrid w:val="0"/>
        <w:spacing w:line="560" w:lineRule="exact"/>
        <w:ind w:firstLineChars="200" w:firstLine="643"/>
        <w:rPr>
          <w:rFonts w:ascii="仿宋_GB2312" w:eastAsia="仿宋_GB2312" w:hAnsi="Times New Roman" w:cs="Times New Roman"/>
          <w:color w:val="000000"/>
          <w:sz w:val="32"/>
          <w:szCs w:val="30"/>
        </w:rPr>
      </w:pPr>
      <w:r>
        <w:rPr>
          <w:rFonts w:ascii="仿宋" w:eastAsia="仿宋" w:hAnsi="仿宋" w:cs="Times New Roman" w:hint="eastAsia"/>
          <w:b/>
          <w:color w:val="000000"/>
          <w:sz w:val="32"/>
          <w:szCs w:val="30"/>
        </w:rPr>
        <w:t>第</w:t>
      </w:r>
      <w:r>
        <w:rPr>
          <w:rFonts w:ascii="仿宋" w:eastAsia="仿宋" w:hAnsi="仿宋" w:cs="Times New Roman" w:hint="eastAsia"/>
          <w:b/>
          <w:color w:val="000000"/>
          <w:kern w:val="0"/>
          <w:sz w:val="32"/>
          <w:szCs w:val="30"/>
          <w:lang w:bidi="en-US"/>
        </w:rPr>
        <w:t>一百零</w:t>
      </w:r>
      <w:r>
        <w:rPr>
          <w:rFonts w:ascii="仿宋" w:eastAsia="仿宋" w:hAnsi="仿宋" w:cs="Times New Roman" w:hint="eastAsia"/>
          <w:b/>
          <w:color w:val="000000"/>
          <w:sz w:val="32"/>
          <w:szCs w:val="30"/>
        </w:rPr>
        <w:t>八</w:t>
      </w:r>
      <w:r w:rsidR="007C17D1">
        <w:rPr>
          <w:rFonts w:ascii="仿宋" w:eastAsia="仿宋" w:hAnsi="仿宋" w:cs="Times New Roman" w:hint="eastAsia"/>
          <w:b/>
          <w:color w:val="000000"/>
          <w:sz w:val="32"/>
          <w:szCs w:val="30"/>
        </w:rPr>
        <w:t>条</w:t>
      </w:r>
      <w:r w:rsidR="007C17D1">
        <w:rPr>
          <w:rFonts w:ascii="仿宋" w:eastAsia="仿宋" w:hAnsi="仿宋" w:cs="Times New Roman" w:hint="eastAsia"/>
          <w:color w:val="000000"/>
          <w:sz w:val="32"/>
          <w:szCs w:val="30"/>
        </w:rPr>
        <w:t xml:space="preserve"> 本指引自发布之日起施行。</w:t>
      </w:r>
    </w:p>
    <w:sectPr w:rsidR="00DA5501" w:rsidSect="00137541">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9E67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885" w:rsidRDefault="00133885">
      <w:r>
        <w:separator/>
      </w:r>
    </w:p>
  </w:endnote>
  <w:endnote w:type="continuationSeparator" w:id="0">
    <w:p w:rsidR="00133885" w:rsidRDefault="0013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00000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41" w:rsidRDefault="00137541" w:rsidP="00137541">
    <w:pPr>
      <w:framePr w:wrap="around" w:vAnchor="text" w:hAnchor="page" w:x="2221" w:y="615"/>
      <w:tabs>
        <w:tab w:val="center" w:pos="4153"/>
        <w:tab w:val="right" w:pos="8306"/>
      </w:tabs>
      <w:snapToGrid w:val="0"/>
      <w:ind w:left="440" w:hanging="440"/>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PAGE  </w:instrText>
    </w:r>
    <w:r>
      <w:rPr>
        <w:rFonts w:ascii="宋体" w:eastAsia="宋体" w:hAnsi="宋体"/>
        <w:sz w:val="28"/>
        <w:szCs w:val="28"/>
      </w:rPr>
      <w:fldChar w:fldCharType="separate"/>
    </w:r>
    <w:r w:rsidR="00BB013C">
      <w:rPr>
        <w:rFonts w:ascii="宋体" w:eastAsia="宋体" w:hAnsi="宋体"/>
        <w:noProof/>
        <w:sz w:val="28"/>
        <w:szCs w:val="28"/>
      </w:rPr>
      <w:t>36</w:t>
    </w:r>
    <w:r>
      <w:rPr>
        <w:rFonts w:ascii="宋体" w:eastAsia="宋体" w:hAnsi="宋体"/>
        <w:sz w:val="28"/>
        <w:szCs w:val="28"/>
      </w:rPr>
      <w:fldChar w:fldCharType="end"/>
    </w:r>
    <w:r>
      <w:rPr>
        <w:rFonts w:ascii="宋体" w:eastAsia="宋体" w:hAnsi="宋体" w:hint="eastAsia"/>
        <w:sz w:val="28"/>
        <w:szCs w:val="28"/>
      </w:rPr>
      <w:t xml:space="preserve"> —</w:t>
    </w:r>
  </w:p>
  <w:p w:rsidR="00DA5501" w:rsidRDefault="00DA5501">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41" w:rsidRDefault="00137541" w:rsidP="00137541">
    <w:pPr>
      <w:framePr w:wrap="around" w:vAnchor="text" w:hAnchor="page" w:x="9316" w:y="600"/>
      <w:tabs>
        <w:tab w:val="center" w:pos="4153"/>
        <w:tab w:val="right" w:pos="8306"/>
      </w:tabs>
      <w:snapToGrid w:val="0"/>
      <w:ind w:left="440" w:hanging="440"/>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PAGE  </w:instrText>
    </w:r>
    <w:r>
      <w:rPr>
        <w:rFonts w:ascii="宋体" w:eastAsia="宋体" w:hAnsi="宋体"/>
        <w:sz w:val="28"/>
        <w:szCs w:val="28"/>
      </w:rPr>
      <w:fldChar w:fldCharType="separate"/>
    </w:r>
    <w:r w:rsidR="00BB013C">
      <w:rPr>
        <w:rFonts w:ascii="宋体" w:eastAsia="宋体" w:hAnsi="宋体"/>
        <w:noProof/>
        <w:sz w:val="28"/>
        <w:szCs w:val="28"/>
      </w:rPr>
      <w:t>35</w:t>
    </w:r>
    <w:r>
      <w:rPr>
        <w:rFonts w:ascii="宋体" w:eastAsia="宋体" w:hAnsi="宋体"/>
        <w:sz w:val="28"/>
        <w:szCs w:val="28"/>
      </w:rPr>
      <w:fldChar w:fldCharType="end"/>
    </w:r>
    <w:r>
      <w:rPr>
        <w:rFonts w:ascii="宋体" w:eastAsia="宋体" w:hAnsi="宋体" w:hint="eastAsia"/>
        <w:sz w:val="28"/>
        <w:szCs w:val="28"/>
      </w:rPr>
      <w:t xml:space="preserve"> —</w:t>
    </w:r>
  </w:p>
  <w:p w:rsidR="00C21C10" w:rsidRPr="00C21C10" w:rsidRDefault="00C21C10" w:rsidP="00137541">
    <w:pPr>
      <w:pStyle w:val="a8"/>
      <w:ind w:firstLine="420"/>
      <w:jc w:val="center"/>
      <w:rPr>
        <w:rFonts w:asciiTheme="minorEastAsia" w:eastAsiaTheme="minorEastAsia" w:hAnsiTheme="minorEastAsia"/>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01" w:rsidRDefault="00DA5501">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885" w:rsidRDefault="00133885">
      <w:r>
        <w:separator/>
      </w:r>
    </w:p>
  </w:footnote>
  <w:footnote w:type="continuationSeparator" w:id="0">
    <w:p w:rsidR="00133885" w:rsidRDefault="00133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01" w:rsidRPr="00137541" w:rsidRDefault="00DA5501" w:rsidP="00137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01" w:rsidRDefault="00DA5501">
    <w:pPr>
      <w:pStyle w:val="a9"/>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01" w:rsidRDefault="00DA5501">
    <w:pPr>
      <w:ind w:left="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64F83"/>
    <w:multiLevelType w:val="singleLevel"/>
    <w:tmpl w:val="99C64F83"/>
    <w:lvl w:ilvl="0">
      <w:start w:val="19"/>
      <w:numFmt w:val="chineseCounting"/>
      <w:suff w:val="nothing"/>
      <w:lvlText w:val="（%1）"/>
      <w:lvlJc w:val="left"/>
      <w:rPr>
        <w:rFonts w:hint="eastAsia"/>
      </w:rPr>
    </w:lvl>
  </w:abstractNum>
  <w:abstractNum w:abstractNumId="1">
    <w:nsid w:val="C7AFA61D"/>
    <w:multiLevelType w:val="singleLevel"/>
    <w:tmpl w:val="C7AFA61D"/>
    <w:lvl w:ilvl="0">
      <w:start w:val="1"/>
      <w:numFmt w:val="chineseCounting"/>
      <w:suff w:val="nothing"/>
      <w:lvlText w:val="（%1）"/>
      <w:lvlJc w:val="left"/>
      <w:rPr>
        <w:rFonts w:hint="eastAsia"/>
      </w:rPr>
    </w:lvl>
  </w:abstractNum>
  <w:abstractNum w:abstractNumId="2">
    <w:nsid w:val="D3EE113A"/>
    <w:multiLevelType w:val="singleLevel"/>
    <w:tmpl w:val="D3EE113A"/>
    <w:lvl w:ilvl="0">
      <w:start w:val="2"/>
      <w:numFmt w:val="chineseCounting"/>
      <w:suff w:val="nothing"/>
      <w:lvlText w:val="（%1）"/>
      <w:lvlJc w:val="left"/>
      <w:rPr>
        <w:rFonts w:hint="eastAsia"/>
      </w:rPr>
    </w:lvl>
  </w:abstractNum>
  <w:abstractNum w:abstractNumId="3">
    <w:nsid w:val="EA8FFD6A"/>
    <w:multiLevelType w:val="singleLevel"/>
    <w:tmpl w:val="EA8FFD6A"/>
    <w:lvl w:ilvl="0">
      <w:start w:val="5"/>
      <w:numFmt w:val="chineseCounting"/>
      <w:suff w:val="nothing"/>
      <w:lvlText w:val="（%1）"/>
      <w:lvlJc w:val="left"/>
      <w:rPr>
        <w:rFonts w:hint="eastAsia"/>
      </w:rPr>
    </w:lvl>
  </w:abstractNum>
  <w:abstractNum w:abstractNumId="4">
    <w:nsid w:val="35FC923F"/>
    <w:multiLevelType w:val="singleLevel"/>
    <w:tmpl w:val="35FC923F"/>
    <w:lvl w:ilvl="0">
      <w:start w:val="1"/>
      <w:numFmt w:val="chineseCounting"/>
      <w:suff w:val="nothing"/>
      <w:lvlText w:val="（%1）"/>
      <w:lvlJc w:val="left"/>
      <w:rPr>
        <w:rFonts w:hint="eastAsia"/>
      </w:rPr>
    </w:lvl>
  </w:abstractNum>
  <w:abstractNum w:abstractNumId="5">
    <w:nsid w:val="5B442860"/>
    <w:multiLevelType w:val="singleLevel"/>
    <w:tmpl w:val="5B442860"/>
    <w:lvl w:ilvl="0">
      <w:start w:val="7"/>
      <w:numFmt w:val="chineseCounting"/>
      <w:suff w:val="nothing"/>
      <w:lvlText w:val="（%1）"/>
      <w:lvlJc w:val="left"/>
      <w:rPr>
        <w:rFonts w:hint="eastAsia"/>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帆">
    <w15:presenceInfo w15:providerId="None" w15:userId="杨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128"/>
    <w:rsid w:val="000010F3"/>
    <w:rsid w:val="000019A1"/>
    <w:rsid w:val="000116BB"/>
    <w:rsid w:val="00011E2F"/>
    <w:rsid w:val="00047DD2"/>
    <w:rsid w:val="000509B6"/>
    <w:rsid w:val="00051778"/>
    <w:rsid w:val="00060835"/>
    <w:rsid w:val="00070A46"/>
    <w:rsid w:val="000968AD"/>
    <w:rsid w:val="000A0694"/>
    <w:rsid w:val="000C66F4"/>
    <w:rsid w:val="000D1FE5"/>
    <w:rsid w:val="000D5776"/>
    <w:rsid w:val="000E25BA"/>
    <w:rsid w:val="000E6A62"/>
    <w:rsid w:val="001231AC"/>
    <w:rsid w:val="00133885"/>
    <w:rsid w:val="00137541"/>
    <w:rsid w:val="001558D4"/>
    <w:rsid w:val="00166E29"/>
    <w:rsid w:val="00171E52"/>
    <w:rsid w:val="00183237"/>
    <w:rsid w:val="00192EFD"/>
    <w:rsid w:val="00193038"/>
    <w:rsid w:val="001B4674"/>
    <w:rsid w:val="001C1B47"/>
    <w:rsid w:val="001E03EE"/>
    <w:rsid w:val="001E61DD"/>
    <w:rsid w:val="001F1923"/>
    <w:rsid w:val="001F4B76"/>
    <w:rsid w:val="00202DEA"/>
    <w:rsid w:val="0020392E"/>
    <w:rsid w:val="002041E6"/>
    <w:rsid w:val="0020426F"/>
    <w:rsid w:val="00212B03"/>
    <w:rsid w:val="0021753F"/>
    <w:rsid w:val="00246FD0"/>
    <w:rsid w:val="00263998"/>
    <w:rsid w:val="002807BC"/>
    <w:rsid w:val="002B0CA1"/>
    <w:rsid w:val="002B6BDE"/>
    <w:rsid w:val="002D418A"/>
    <w:rsid w:val="002E59A6"/>
    <w:rsid w:val="002F4535"/>
    <w:rsid w:val="00304AFB"/>
    <w:rsid w:val="003077BB"/>
    <w:rsid w:val="00325C3D"/>
    <w:rsid w:val="00327855"/>
    <w:rsid w:val="00343700"/>
    <w:rsid w:val="003460E0"/>
    <w:rsid w:val="00361E13"/>
    <w:rsid w:val="003665F8"/>
    <w:rsid w:val="00370128"/>
    <w:rsid w:val="003723A7"/>
    <w:rsid w:val="00374689"/>
    <w:rsid w:val="00374A1D"/>
    <w:rsid w:val="00376047"/>
    <w:rsid w:val="00376660"/>
    <w:rsid w:val="00385E5D"/>
    <w:rsid w:val="00395093"/>
    <w:rsid w:val="00395F64"/>
    <w:rsid w:val="003A1689"/>
    <w:rsid w:val="003C258C"/>
    <w:rsid w:val="003D4B42"/>
    <w:rsid w:val="003E4FAA"/>
    <w:rsid w:val="003E67DF"/>
    <w:rsid w:val="003F350D"/>
    <w:rsid w:val="003F5A1A"/>
    <w:rsid w:val="00405CCE"/>
    <w:rsid w:val="004242CB"/>
    <w:rsid w:val="00451F3C"/>
    <w:rsid w:val="00456D1A"/>
    <w:rsid w:val="004622E4"/>
    <w:rsid w:val="0048012D"/>
    <w:rsid w:val="004A6ECE"/>
    <w:rsid w:val="004B646B"/>
    <w:rsid w:val="004B75C6"/>
    <w:rsid w:val="004D7276"/>
    <w:rsid w:val="004D7E47"/>
    <w:rsid w:val="005253A5"/>
    <w:rsid w:val="00530652"/>
    <w:rsid w:val="00567C58"/>
    <w:rsid w:val="005A1CE9"/>
    <w:rsid w:val="005C112B"/>
    <w:rsid w:val="005C2092"/>
    <w:rsid w:val="005C750E"/>
    <w:rsid w:val="005F0F20"/>
    <w:rsid w:val="00643F2D"/>
    <w:rsid w:val="0064598D"/>
    <w:rsid w:val="006660E9"/>
    <w:rsid w:val="006942D1"/>
    <w:rsid w:val="006A4974"/>
    <w:rsid w:val="006A5F19"/>
    <w:rsid w:val="006B30CF"/>
    <w:rsid w:val="006D3A1A"/>
    <w:rsid w:val="00710E48"/>
    <w:rsid w:val="00736E3B"/>
    <w:rsid w:val="00741052"/>
    <w:rsid w:val="00741377"/>
    <w:rsid w:val="0077550E"/>
    <w:rsid w:val="00784535"/>
    <w:rsid w:val="0078624D"/>
    <w:rsid w:val="007B0793"/>
    <w:rsid w:val="007B2B7D"/>
    <w:rsid w:val="007C17D1"/>
    <w:rsid w:val="007C3365"/>
    <w:rsid w:val="007D13A9"/>
    <w:rsid w:val="007D64B8"/>
    <w:rsid w:val="007F1AC3"/>
    <w:rsid w:val="008106FB"/>
    <w:rsid w:val="00820067"/>
    <w:rsid w:val="008303C2"/>
    <w:rsid w:val="00834AAB"/>
    <w:rsid w:val="00836EFD"/>
    <w:rsid w:val="00847E16"/>
    <w:rsid w:val="00860805"/>
    <w:rsid w:val="0088624B"/>
    <w:rsid w:val="00886796"/>
    <w:rsid w:val="0089139D"/>
    <w:rsid w:val="008933EE"/>
    <w:rsid w:val="008E181A"/>
    <w:rsid w:val="008F2CD0"/>
    <w:rsid w:val="00907F7F"/>
    <w:rsid w:val="009506CF"/>
    <w:rsid w:val="00962A34"/>
    <w:rsid w:val="0096750B"/>
    <w:rsid w:val="0096759E"/>
    <w:rsid w:val="00973A04"/>
    <w:rsid w:val="00984E85"/>
    <w:rsid w:val="0098788C"/>
    <w:rsid w:val="00997510"/>
    <w:rsid w:val="009B1229"/>
    <w:rsid w:val="009B1EA3"/>
    <w:rsid w:val="009B4073"/>
    <w:rsid w:val="009C45D2"/>
    <w:rsid w:val="009C5C0B"/>
    <w:rsid w:val="009D3915"/>
    <w:rsid w:val="00A029A4"/>
    <w:rsid w:val="00A05267"/>
    <w:rsid w:val="00A10A17"/>
    <w:rsid w:val="00A1596C"/>
    <w:rsid w:val="00A253D5"/>
    <w:rsid w:val="00A32DF9"/>
    <w:rsid w:val="00A4109D"/>
    <w:rsid w:val="00A4761B"/>
    <w:rsid w:val="00A579E3"/>
    <w:rsid w:val="00A60387"/>
    <w:rsid w:val="00A61FFE"/>
    <w:rsid w:val="00A72F63"/>
    <w:rsid w:val="00A84664"/>
    <w:rsid w:val="00A862F0"/>
    <w:rsid w:val="00AA435B"/>
    <w:rsid w:val="00AA523E"/>
    <w:rsid w:val="00AF3D14"/>
    <w:rsid w:val="00B01AEC"/>
    <w:rsid w:val="00B137CA"/>
    <w:rsid w:val="00B31EF5"/>
    <w:rsid w:val="00B3574C"/>
    <w:rsid w:val="00B36A43"/>
    <w:rsid w:val="00B409F0"/>
    <w:rsid w:val="00B50052"/>
    <w:rsid w:val="00B527CC"/>
    <w:rsid w:val="00B57906"/>
    <w:rsid w:val="00B65656"/>
    <w:rsid w:val="00B81A79"/>
    <w:rsid w:val="00B96626"/>
    <w:rsid w:val="00BA160E"/>
    <w:rsid w:val="00BB013C"/>
    <w:rsid w:val="00BB2CA0"/>
    <w:rsid w:val="00BC031E"/>
    <w:rsid w:val="00C0114C"/>
    <w:rsid w:val="00C12C5D"/>
    <w:rsid w:val="00C13820"/>
    <w:rsid w:val="00C21C10"/>
    <w:rsid w:val="00C25579"/>
    <w:rsid w:val="00C3016A"/>
    <w:rsid w:val="00C71520"/>
    <w:rsid w:val="00CB1752"/>
    <w:rsid w:val="00CB7150"/>
    <w:rsid w:val="00CB7F41"/>
    <w:rsid w:val="00CD1F61"/>
    <w:rsid w:val="00CF24AA"/>
    <w:rsid w:val="00D005C1"/>
    <w:rsid w:val="00D07A67"/>
    <w:rsid w:val="00D1268D"/>
    <w:rsid w:val="00D23870"/>
    <w:rsid w:val="00D32380"/>
    <w:rsid w:val="00D436A3"/>
    <w:rsid w:val="00D50C10"/>
    <w:rsid w:val="00D634A7"/>
    <w:rsid w:val="00D65B24"/>
    <w:rsid w:val="00D678B8"/>
    <w:rsid w:val="00D7139F"/>
    <w:rsid w:val="00D840D7"/>
    <w:rsid w:val="00D95DE9"/>
    <w:rsid w:val="00DA5138"/>
    <w:rsid w:val="00DA5501"/>
    <w:rsid w:val="00DB6D49"/>
    <w:rsid w:val="00DE407C"/>
    <w:rsid w:val="00E07735"/>
    <w:rsid w:val="00E35B84"/>
    <w:rsid w:val="00E4411E"/>
    <w:rsid w:val="00E543B0"/>
    <w:rsid w:val="00E62047"/>
    <w:rsid w:val="00E71194"/>
    <w:rsid w:val="00E731B2"/>
    <w:rsid w:val="00E74D12"/>
    <w:rsid w:val="00E83574"/>
    <w:rsid w:val="00E95E02"/>
    <w:rsid w:val="00EB68AF"/>
    <w:rsid w:val="00EC6F2D"/>
    <w:rsid w:val="00ED0A33"/>
    <w:rsid w:val="00ED2D0D"/>
    <w:rsid w:val="00ED6A31"/>
    <w:rsid w:val="00EF0702"/>
    <w:rsid w:val="00F02857"/>
    <w:rsid w:val="00F10735"/>
    <w:rsid w:val="00F17805"/>
    <w:rsid w:val="00F27CE7"/>
    <w:rsid w:val="00F56A11"/>
    <w:rsid w:val="00F749D5"/>
    <w:rsid w:val="00F77799"/>
    <w:rsid w:val="00F800A7"/>
    <w:rsid w:val="00F8378C"/>
    <w:rsid w:val="00F925F0"/>
    <w:rsid w:val="00F93631"/>
    <w:rsid w:val="00F97BCE"/>
    <w:rsid w:val="00FA1CC9"/>
    <w:rsid w:val="00FA46E9"/>
    <w:rsid w:val="00FC192D"/>
    <w:rsid w:val="00FE25E3"/>
    <w:rsid w:val="05AF1E6C"/>
    <w:rsid w:val="07C53735"/>
    <w:rsid w:val="08B244A9"/>
    <w:rsid w:val="0A0D17A6"/>
    <w:rsid w:val="0BA8664E"/>
    <w:rsid w:val="0FA40366"/>
    <w:rsid w:val="10487BAF"/>
    <w:rsid w:val="163D14AC"/>
    <w:rsid w:val="16A94C30"/>
    <w:rsid w:val="24E414C3"/>
    <w:rsid w:val="285B2E54"/>
    <w:rsid w:val="2E533174"/>
    <w:rsid w:val="331D12D9"/>
    <w:rsid w:val="337C0833"/>
    <w:rsid w:val="348E31F7"/>
    <w:rsid w:val="34EC2ACF"/>
    <w:rsid w:val="3A633502"/>
    <w:rsid w:val="3F7504A2"/>
    <w:rsid w:val="40895B82"/>
    <w:rsid w:val="44883BCC"/>
    <w:rsid w:val="499950B1"/>
    <w:rsid w:val="4D431DF4"/>
    <w:rsid w:val="4E4717A4"/>
    <w:rsid w:val="4F521541"/>
    <w:rsid w:val="55151AB3"/>
    <w:rsid w:val="5927032F"/>
    <w:rsid w:val="59CC57F2"/>
    <w:rsid w:val="5DF869B8"/>
    <w:rsid w:val="5E7F1731"/>
    <w:rsid w:val="5F0C51F6"/>
    <w:rsid w:val="63DB779E"/>
    <w:rsid w:val="6A042327"/>
    <w:rsid w:val="6B215434"/>
    <w:rsid w:val="760A19E3"/>
    <w:rsid w:val="773E0892"/>
    <w:rsid w:val="7C621D22"/>
    <w:rsid w:val="7D017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qFormat="1"/>
    <w:lsdException w:name="annotation text" w:semiHidden="0"/>
    <w:lsdException w:name="header" w:semiHidden="0" w:qFormat="1"/>
    <w:lsdException w:name="footer" w:semiHidden="0"/>
    <w:lsdException w:name="caption" w:uiPriority="35" w:qFormat="1"/>
    <w:lsdException w:name="footnote reference"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adjustRightInd w:val="0"/>
      <w:snapToGrid w:val="0"/>
      <w:spacing w:before="340" w:after="330" w:line="578" w:lineRule="auto"/>
      <w:ind w:firstLineChars="200" w:firstLine="200"/>
      <w:outlineLvl w:val="0"/>
    </w:pPr>
    <w:rPr>
      <w:rFonts w:ascii="仿宋_GB2312" w:eastAsia="仿宋_GB2312" w:hAnsi="Times New Roman" w:cs="Times New Roman"/>
      <w:b/>
      <w:bCs/>
      <w:color w:val="000000"/>
      <w:kern w:val="44"/>
      <w:sz w:val="44"/>
      <w:szCs w:val="44"/>
    </w:rPr>
  </w:style>
  <w:style w:type="paragraph" w:styleId="2">
    <w:name w:val="heading 2"/>
    <w:basedOn w:val="a"/>
    <w:next w:val="a"/>
    <w:link w:val="2Char"/>
    <w:uiPriority w:val="9"/>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Document Map"/>
    <w:basedOn w:val="a"/>
    <w:link w:val="Char"/>
    <w:uiPriority w:val="99"/>
    <w:semiHidden/>
    <w:unhideWhenUsed/>
    <w:qFormat/>
    <w:pPr>
      <w:adjustRightInd w:val="0"/>
      <w:snapToGrid w:val="0"/>
      <w:spacing w:line="560" w:lineRule="exact"/>
      <w:ind w:firstLineChars="200" w:firstLine="200"/>
    </w:pPr>
    <w:rPr>
      <w:rFonts w:ascii="宋体" w:eastAsia="宋体" w:hAnsi="Times New Roman" w:cs="Times New Roman"/>
      <w:color w:val="000000"/>
      <w:sz w:val="18"/>
      <w:szCs w:val="18"/>
    </w:rPr>
  </w:style>
  <w:style w:type="paragraph" w:styleId="a4">
    <w:name w:val="annotation text"/>
    <w:basedOn w:val="a"/>
    <w:link w:val="Char0"/>
    <w:uiPriority w:val="99"/>
    <w:unhideWhenUsed/>
    <w:pPr>
      <w:adjustRightInd w:val="0"/>
      <w:snapToGrid w:val="0"/>
      <w:spacing w:line="560" w:lineRule="exact"/>
      <w:ind w:firstLineChars="200" w:firstLine="200"/>
      <w:jc w:val="left"/>
    </w:pPr>
    <w:rPr>
      <w:rFonts w:ascii="仿宋_GB2312" w:eastAsia="仿宋_GB2312" w:hAnsi="Times New Roman" w:cs="Times New Roman"/>
      <w:color w:val="000000"/>
      <w:sz w:val="32"/>
      <w:szCs w:val="30"/>
    </w:rPr>
  </w:style>
  <w:style w:type="paragraph" w:styleId="5">
    <w:name w:val="toc 5"/>
    <w:basedOn w:val="a"/>
    <w:next w:val="a"/>
    <w:uiPriority w:val="39"/>
    <w:unhideWhenUsed/>
    <w:qFormat/>
    <w:pPr>
      <w:ind w:leftChars="800" w:left="1680"/>
    </w:pPr>
  </w:style>
  <w:style w:type="paragraph" w:styleId="3">
    <w:name w:val="toc 3"/>
    <w:basedOn w:val="a"/>
    <w:next w:val="a"/>
    <w:uiPriority w:val="39"/>
    <w:unhideWhenUsed/>
    <w:qFormat/>
    <w:pPr>
      <w:widowControl/>
      <w:adjustRightInd w:val="0"/>
      <w:snapToGrid w:val="0"/>
      <w:spacing w:after="100" w:line="276" w:lineRule="auto"/>
      <w:ind w:left="440" w:firstLineChars="200" w:firstLine="200"/>
      <w:jc w:val="left"/>
    </w:pPr>
    <w:rPr>
      <w:rFonts w:ascii="仿宋_GB2312" w:eastAsia="仿宋_GB2312" w:hAnsi="Times New Roman" w:cs="Times New Roman"/>
      <w:color w:val="000000"/>
      <w:kern w:val="0"/>
      <w:sz w:val="22"/>
      <w:szCs w:val="30"/>
    </w:rPr>
  </w:style>
  <w:style w:type="paragraph" w:styleId="a5">
    <w:name w:val="Plain Text"/>
    <w:basedOn w:val="a"/>
    <w:link w:val="Char1"/>
    <w:pPr>
      <w:widowControl/>
      <w:spacing w:line="360" w:lineRule="auto"/>
      <w:ind w:firstLineChars="200" w:firstLine="420"/>
    </w:pPr>
    <w:rPr>
      <w:rFonts w:ascii="宋体" w:hAnsi="宋体"/>
      <w:sz w:val="24"/>
      <w:lang w:eastAsia="en-US"/>
    </w:rPr>
  </w:style>
  <w:style w:type="paragraph" w:styleId="8">
    <w:name w:val="toc 8"/>
    <w:basedOn w:val="a"/>
    <w:next w:val="a"/>
    <w:uiPriority w:val="39"/>
    <w:unhideWhenUsed/>
    <w:qFormat/>
    <w:pPr>
      <w:ind w:leftChars="1400" w:left="2940"/>
    </w:pPr>
  </w:style>
  <w:style w:type="paragraph" w:styleId="a6">
    <w:name w:val="Date"/>
    <w:basedOn w:val="a"/>
    <w:next w:val="a"/>
    <w:link w:val="Char2"/>
    <w:pPr>
      <w:spacing w:line="560" w:lineRule="exact"/>
    </w:pPr>
    <w:rPr>
      <w:rFonts w:ascii="宋体" w:eastAsia="仿宋" w:hAnsi="Times New Roman" w:cs="Times New Roman"/>
      <w:sz w:val="24"/>
      <w:szCs w:val="20"/>
    </w:rPr>
  </w:style>
  <w:style w:type="paragraph" w:styleId="a7">
    <w:name w:val="Balloon Text"/>
    <w:basedOn w:val="a"/>
    <w:link w:val="Char3"/>
    <w:uiPriority w:val="99"/>
    <w:semiHidden/>
    <w:unhideWhenUsed/>
    <w:qFormat/>
    <w:pPr>
      <w:adjustRightInd w:val="0"/>
      <w:snapToGrid w:val="0"/>
      <w:spacing w:line="560" w:lineRule="exact"/>
      <w:ind w:firstLineChars="200" w:firstLine="200"/>
    </w:pPr>
    <w:rPr>
      <w:rFonts w:ascii="仿宋_GB2312" w:eastAsia="仿宋_GB2312" w:hAnsi="Times New Roman" w:cs="Times New Roman"/>
      <w:color w:val="000000"/>
      <w:sz w:val="18"/>
      <w:szCs w:val="18"/>
    </w:rPr>
  </w:style>
  <w:style w:type="paragraph" w:styleId="a8">
    <w:name w:val="footer"/>
    <w:basedOn w:val="a"/>
    <w:link w:val="Char4"/>
    <w:uiPriority w:val="99"/>
    <w:unhideWhenUsed/>
    <w:pPr>
      <w:tabs>
        <w:tab w:val="center" w:pos="4153"/>
        <w:tab w:val="right" w:pos="8306"/>
      </w:tabs>
      <w:adjustRightInd w:val="0"/>
      <w:snapToGrid w:val="0"/>
      <w:spacing w:line="560" w:lineRule="exact"/>
      <w:ind w:firstLineChars="200" w:firstLine="200"/>
      <w:jc w:val="left"/>
    </w:pPr>
    <w:rPr>
      <w:rFonts w:ascii="仿宋_GB2312" w:eastAsia="仿宋_GB2312" w:hAnsi="Times New Roman" w:cs="Times New Roman"/>
      <w:color w:val="000000"/>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adjustRightInd w:val="0"/>
      <w:snapToGrid w:val="0"/>
      <w:spacing w:line="560" w:lineRule="exact"/>
      <w:ind w:firstLineChars="200" w:firstLine="200"/>
      <w:jc w:val="center"/>
    </w:pPr>
    <w:rPr>
      <w:rFonts w:ascii="仿宋_GB2312" w:eastAsia="仿宋_GB2312" w:hAnsi="Times New Roman" w:cs="Times New Roman"/>
      <w:color w:val="000000"/>
      <w:sz w:val="18"/>
      <w:szCs w:val="18"/>
    </w:rPr>
  </w:style>
  <w:style w:type="paragraph" w:styleId="10">
    <w:name w:val="toc 1"/>
    <w:basedOn w:val="a"/>
    <w:next w:val="a"/>
    <w:uiPriority w:val="39"/>
    <w:unhideWhenUsed/>
    <w:qFormat/>
    <w:pPr>
      <w:tabs>
        <w:tab w:val="right" w:leader="dot" w:pos="8296"/>
      </w:tabs>
      <w:overflowPunct w:val="0"/>
      <w:adjustRightInd w:val="0"/>
      <w:snapToGrid w:val="0"/>
      <w:spacing w:line="360" w:lineRule="auto"/>
      <w:ind w:firstLineChars="200" w:firstLine="482"/>
    </w:pPr>
    <w:rPr>
      <w:rFonts w:ascii="仿宋_GB2312" w:eastAsia="仿宋_GB2312" w:hAnsi="Times New Roman" w:cs="Times New Roman"/>
      <w:b/>
      <w:color w:val="000000"/>
      <w:sz w:val="22"/>
      <w:szCs w:val="30"/>
    </w:rPr>
  </w:style>
  <w:style w:type="paragraph" w:styleId="4">
    <w:name w:val="toc 4"/>
    <w:basedOn w:val="a"/>
    <w:next w:val="a"/>
    <w:uiPriority w:val="39"/>
    <w:unhideWhenUsed/>
    <w:qFormat/>
    <w:pPr>
      <w:ind w:leftChars="600" w:left="1260"/>
    </w:pPr>
  </w:style>
  <w:style w:type="paragraph" w:styleId="aa">
    <w:name w:val="footnote text"/>
    <w:basedOn w:val="a"/>
    <w:link w:val="Char6"/>
    <w:uiPriority w:val="99"/>
    <w:unhideWhenUsed/>
    <w:qFormat/>
    <w:pPr>
      <w:adjustRightInd w:val="0"/>
      <w:snapToGrid w:val="0"/>
      <w:spacing w:line="560" w:lineRule="exact"/>
      <w:ind w:firstLineChars="200" w:firstLine="200"/>
      <w:jc w:val="left"/>
    </w:pPr>
    <w:rPr>
      <w:rFonts w:ascii="仿宋_GB2312" w:eastAsia="仿宋_GB2312" w:hAnsi="Times New Roman" w:cs="Times New Roman"/>
      <w:color w:val="000000"/>
      <w:sz w:val="18"/>
      <w:szCs w:val="18"/>
    </w:rPr>
  </w:style>
  <w:style w:type="paragraph" w:styleId="6">
    <w:name w:val="toc 6"/>
    <w:basedOn w:val="a"/>
    <w:next w:val="a"/>
    <w:uiPriority w:val="39"/>
    <w:unhideWhenUsed/>
    <w:qFormat/>
    <w:pPr>
      <w:ind w:leftChars="1000" w:left="2100"/>
    </w:pPr>
  </w:style>
  <w:style w:type="paragraph" w:styleId="20">
    <w:name w:val="toc 2"/>
    <w:basedOn w:val="a"/>
    <w:next w:val="a"/>
    <w:uiPriority w:val="39"/>
    <w:unhideWhenUsed/>
    <w:qFormat/>
    <w:pPr>
      <w:tabs>
        <w:tab w:val="left" w:pos="1580"/>
        <w:tab w:val="right" w:leader="dot" w:pos="8296"/>
      </w:tabs>
      <w:adjustRightInd w:val="0"/>
      <w:snapToGrid w:val="0"/>
      <w:spacing w:line="276" w:lineRule="auto"/>
      <w:ind w:leftChars="200" w:left="420" w:firstLineChars="200" w:firstLine="200"/>
    </w:pPr>
    <w:rPr>
      <w:rFonts w:ascii="仿宋_GB2312" w:eastAsia="仿宋_GB2312" w:hAnsi="Times New Roman" w:cs="Times New Roman"/>
      <w:color w:val="000000"/>
      <w:sz w:val="22"/>
      <w:szCs w:val="30"/>
    </w:rPr>
  </w:style>
  <w:style w:type="paragraph" w:styleId="9">
    <w:name w:val="toc 9"/>
    <w:basedOn w:val="a"/>
    <w:next w:val="a"/>
    <w:uiPriority w:val="39"/>
    <w:unhideWhenUsed/>
    <w:qFormat/>
    <w:pPr>
      <w:ind w:leftChars="1600" w:left="3360"/>
    </w:pPr>
  </w:style>
  <w:style w:type="paragraph" w:styleId="ab">
    <w:name w:val="annotation subject"/>
    <w:basedOn w:val="a4"/>
    <w:next w:val="a4"/>
    <w:link w:val="Char7"/>
    <w:uiPriority w:val="99"/>
    <w:semiHidden/>
    <w:unhideWhenUsed/>
    <w:qFormat/>
    <w:rPr>
      <w:b/>
      <w:bCs/>
    </w:rPr>
  </w:style>
  <w:style w:type="table" w:styleId="ac">
    <w:name w:val="Table Grid"/>
    <w:basedOn w:val="a1"/>
    <w:uiPriority w:val="59"/>
    <w:qFormat/>
    <w:pPr>
      <w:spacing w:line="276" w:lineRule="auto"/>
    </w:pPr>
    <w:rPr>
      <w:rFonts w:ascii="Times New Roman" w:eastAsia="仿宋_GB2312" w:hAnsi="Times New Roman" w:cs="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tblStylePr w:type="firstRow">
      <w:rPr>
        <w:b/>
      </w:rPr>
      <w:tblPr/>
      <w:trPr>
        <w:cantSplit/>
        <w:tblHeader/>
      </w:trPr>
    </w:tblStylePr>
  </w:style>
  <w:style w:type="character" w:styleId="ad">
    <w:name w:val="Hyperlink"/>
    <w:basedOn w:val="a0"/>
    <w:uiPriority w:val="99"/>
    <w:unhideWhenUsed/>
    <w:qFormat/>
    <w:rPr>
      <w:color w:val="0000FF"/>
      <w:u w:val="single"/>
    </w:rPr>
  </w:style>
  <w:style w:type="character" w:styleId="ae">
    <w:name w:val="annotation reference"/>
    <w:basedOn w:val="a0"/>
    <w:uiPriority w:val="99"/>
    <w:unhideWhenUsed/>
    <w:qFormat/>
    <w:rPr>
      <w:sz w:val="21"/>
      <w:szCs w:val="21"/>
    </w:rPr>
  </w:style>
  <w:style w:type="character" w:styleId="af">
    <w:name w:val="footnote reference"/>
    <w:basedOn w:val="a0"/>
    <w:uiPriority w:val="99"/>
    <w:semiHidden/>
    <w:unhideWhenUsed/>
    <w:qFormat/>
    <w:rPr>
      <w:vertAlign w:val="superscript"/>
    </w:rPr>
  </w:style>
  <w:style w:type="character" w:customStyle="1" w:styleId="1Char">
    <w:name w:val="标题 1 Char"/>
    <w:basedOn w:val="a0"/>
    <w:link w:val="1"/>
    <w:uiPriority w:val="9"/>
    <w:qFormat/>
    <w:rPr>
      <w:rFonts w:ascii="仿宋_GB2312" w:eastAsia="仿宋_GB2312" w:hAnsi="Times New Roman" w:cs="Times New Roman"/>
      <w:b/>
      <w:bCs/>
      <w:color w:val="000000"/>
      <w:kern w:val="44"/>
      <w:sz w:val="44"/>
      <w:szCs w:val="44"/>
    </w:rPr>
  </w:style>
  <w:style w:type="character" w:customStyle="1" w:styleId="Char5">
    <w:name w:val="页眉 Char"/>
    <w:basedOn w:val="a0"/>
    <w:link w:val="a9"/>
    <w:uiPriority w:val="99"/>
    <w:qFormat/>
    <w:rPr>
      <w:rFonts w:ascii="仿宋_GB2312" w:eastAsia="仿宋_GB2312" w:hAnsi="Times New Roman" w:cs="Times New Roman"/>
      <w:color w:val="000000"/>
      <w:sz w:val="18"/>
      <w:szCs w:val="18"/>
    </w:rPr>
  </w:style>
  <w:style w:type="character" w:customStyle="1" w:styleId="Char4">
    <w:name w:val="页脚 Char"/>
    <w:basedOn w:val="a0"/>
    <w:link w:val="a8"/>
    <w:uiPriority w:val="99"/>
    <w:qFormat/>
    <w:rPr>
      <w:rFonts w:ascii="仿宋_GB2312" w:eastAsia="仿宋_GB2312" w:hAnsi="Times New Roman" w:cs="Times New Roman"/>
      <w:color w:val="000000"/>
      <w:sz w:val="18"/>
      <w:szCs w:val="18"/>
    </w:rPr>
  </w:style>
  <w:style w:type="paragraph" w:customStyle="1" w:styleId="11">
    <w:name w:val="列出段落1"/>
    <w:basedOn w:val="a"/>
    <w:uiPriority w:val="99"/>
    <w:qFormat/>
    <w:pPr>
      <w:adjustRightInd w:val="0"/>
      <w:snapToGrid w:val="0"/>
      <w:spacing w:line="560" w:lineRule="exact"/>
      <w:ind w:firstLineChars="200" w:firstLine="420"/>
    </w:pPr>
    <w:rPr>
      <w:rFonts w:ascii="Calibri" w:eastAsia="宋体" w:hAnsi="Calibri" w:cs="Times New Roman"/>
      <w:color w:val="000000"/>
      <w:sz w:val="32"/>
      <w:szCs w:val="30"/>
    </w:rPr>
  </w:style>
  <w:style w:type="character" w:customStyle="1" w:styleId="Char3">
    <w:name w:val="批注框文本 Char"/>
    <w:basedOn w:val="a0"/>
    <w:link w:val="a7"/>
    <w:uiPriority w:val="99"/>
    <w:semiHidden/>
    <w:qFormat/>
    <w:rPr>
      <w:rFonts w:ascii="仿宋_GB2312" w:eastAsia="仿宋_GB2312" w:hAnsi="Times New Roman" w:cs="Times New Roman"/>
      <w:color w:val="000000"/>
      <w:sz w:val="18"/>
      <w:szCs w:val="18"/>
    </w:rPr>
  </w:style>
  <w:style w:type="character" w:customStyle="1" w:styleId="Char">
    <w:name w:val="文档结构图 Char"/>
    <w:basedOn w:val="a0"/>
    <w:link w:val="a3"/>
    <w:uiPriority w:val="99"/>
    <w:semiHidden/>
    <w:qFormat/>
    <w:rPr>
      <w:rFonts w:ascii="宋体" w:eastAsia="宋体" w:hAnsi="Times New Roman" w:cs="Times New Roman"/>
      <w:color w:val="000000"/>
      <w:sz w:val="18"/>
      <w:szCs w:val="18"/>
    </w:rPr>
  </w:style>
  <w:style w:type="character" w:customStyle="1" w:styleId="Char0">
    <w:name w:val="批注文字 Char"/>
    <w:basedOn w:val="a0"/>
    <w:link w:val="a4"/>
    <w:uiPriority w:val="99"/>
    <w:qFormat/>
    <w:rPr>
      <w:rFonts w:ascii="仿宋_GB2312" w:eastAsia="仿宋_GB2312" w:hAnsi="Times New Roman" w:cs="Times New Roman"/>
      <w:color w:val="000000"/>
      <w:sz w:val="32"/>
      <w:szCs w:val="30"/>
    </w:rPr>
  </w:style>
  <w:style w:type="character" w:customStyle="1" w:styleId="Char7">
    <w:name w:val="批注主题 Char"/>
    <w:basedOn w:val="Char0"/>
    <w:link w:val="ab"/>
    <w:uiPriority w:val="99"/>
    <w:semiHidden/>
    <w:qFormat/>
    <w:rPr>
      <w:rFonts w:ascii="仿宋_GB2312" w:eastAsia="仿宋_GB2312" w:hAnsi="Times New Roman" w:cs="Times New Roman"/>
      <w:b/>
      <w:bCs/>
      <w:color w:val="000000"/>
      <w:sz w:val="32"/>
      <w:szCs w:val="30"/>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6">
    <w:name w:val="脚注文本 Char"/>
    <w:basedOn w:val="a0"/>
    <w:link w:val="aa"/>
    <w:uiPriority w:val="99"/>
    <w:qFormat/>
    <w:rPr>
      <w:rFonts w:ascii="仿宋_GB2312" w:eastAsia="仿宋_GB2312" w:hAnsi="Times New Roman" w:cs="Times New Roman"/>
      <w:color w:val="000000"/>
      <w:sz w:val="18"/>
      <w:szCs w:val="18"/>
    </w:rPr>
  </w:style>
  <w:style w:type="paragraph" w:customStyle="1" w:styleId="12">
    <w:name w:val="修订1"/>
    <w:hidden/>
    <w:uiPriority w:val="99"/>
    <w:semiHidden/>
    <w:qFormat/>
    <w:rPr>
      <w:rFonts w:ascii="Calibri" w:eastAsia="宋体" w:hAnsi="Calibri" w:cs="Times New Roman"/>
      <w:kern w:val="2"/>
      <w:sz w:val="21"/>
      <w:szCs w:val="22"/>
    </w:rPr>
  </w:style>
  <w:style w:type="paragraph" w:customStyle="1" w:styleId="Style3">
    <w:name w:val="_Style 3"/>
    <w:basedOn w:val="a"/>
    <w:qFormat/>
    <w:pPr>
      <w:adjustRightInd w:val="0"/>
      <w:snapToGrid w:val="0"/>
      <w:spacing w:line="560" w:lineRule="exact"/>
      <w:ind w:firstLineChars="200" w:firstLine="420"/>
    </w:pPr>
    <w:rPr>
      <w:rFonts w:ascii="Times New Roman" w:eastAsia="宋体" w:hAnsi="Times New Roman" w:cs="Times New Roman"/>
      <w:color w:val="000000"/>
      <w:sz w:val="32"/>
      <w:szCs w:val="3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
    <w:name w:val="一级标题-指南一"/>
    <w:basedOn w:val="a"/>
    <w:link w:val="-Char"/>
    <w:qFormat/>
    <w:pPr>
      <w:adjustRightInd w:val="0"/>
      <w:snapToGrid w:val="0"/>
      <w:spacing w:line="560" w:lineRule="exact"/>
      <w:jc w:val="center"/>
      <w:outlineLvl w:val="0"/>
    </w:pPr>
    <w:rPr>
      <w:rFonts w:ascii="Times New Roman" w:eastAsia="黑体" w:hAnsi="Times New Roman" w:cs="Times New Roman"/>
      <w:bCs/>
      <w:color w:val="000000"/>
      <w:kern w:val="0"/>
      <w:sz w:val="32"/>
      <w:szCs w:val="30"/>
    </w:rPr>
  </w:style>
  <w:style w:type="character" w:customStyle="1" w:styleId="-Char">
    <w:name w:val="一级标题-指南一 Char"/>
    <w:basedOn w:val="a0"/>
    <w:link w:val="-"/>
    <w:qFormat/>
    <w:rPr>
      <w:rFonts w:ascii="Times New Roman" w:eastAsia="黑体" w:hAnsi="Times New Roman" w:cs="Times New Roman"/>
      <w:bCs/>
      <w:color w:val="000000"/>
      <w:kern w:val="0"/>
      <w:sz w:val="32"/>
      <w:szCs w:val="30"/>
    </w:rPr>
  </w:style>
  <w:style w:type="paragraph" w:customStyle="1" w:styleId="-0">
    <w:name w:val="二级标题-指南二"/>
    <w:basedOn w:val="a"/>
    <w:link w:val="-Char0"/>
    <w:qFormat/>
    <w:pPr>
      <w:adjustRightInd w:val="0"/>
      <w:snapToGrid w:val="0"/>
      <w:spacing w:line="560" w:lineRule="exact"/>
      <w:jc w:val="center"/>
      <w:outlineLvl w:val="1"/>
    </w:pPr>
    <w:rPr>
      <w:rFonts w:ascii="Times New Roman" w:eastAsia="楷体_GB2312" w:hAnsi="Times New Roman" w:cs="Times New Roman"/>
      <w:bCs/>
      <w:color w:val="000000"/>
      <w:kern w:val="0"/>
      <w:sz w:val="32"/>
      <w:szCs w:val="30"/>
    </w:rPr>
  </w:style>
  <w:style w:type="character" w:customStyle="1" w:styleId="-Char0">
    <w:name w:val="二级标题-指南二 Char"/>
    <w:basedOn w:val="a0"/>
    <w:link w:val="-0"/>
    <w:qFormat/>
    <w:rPr>
      <w:rFonts w:ascii="Times New Roman" w:eastAsia="楷体_GB2312" w:hAnsi="Times New Roman" w:cs="Times New Roman"/>
      <w:bCs/>
      <w:color w:val="000000"/>
      <w:kern w:val="0"/>
      <w:sz w:val="32"/>
      <w:szCs w:val="30"/>
    </w:rPr>
  </w:style>
  <w:style w:type="paragraph" w:customStyle="1" w:styleId="TOC11">
    <w:name w:val="TOC 标题11"/>
    <w:basedOn w:val="1"/>
    <w:next w:val="a"/>
    <w:link w:val="TOC1Char"/>
    <w:uiPriority w:val="9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af0">
    <w:name w:val="目录样式"/>
    <w:basedOn w:val="TOC11"/>
    <w:link w:val="Char8"/>
    <w:qFormat/>
    <w:pPr>
      <w:widowControl w:val="0"/>
      <w:spacing w:line="560" w:lineRule="exact"/>
      <w:jc w:val="center"/>
    </w:pPr>
    <w:rPr>
      <w:rFonts w:ascii="仿宋_GB2312" w:eastAsia="仿宋_GB2312"/>
      <w:sz w:val="30"/>
      <w:szCs w:val="30"/>
      <w:lang w:val="zh-CN"/>
    </w:rPr>
  </w:style>
  <w:style w:type="character" w:customStyle="1" w:styleId="TOC1Char">
    <w:name w:val="TOC 标题1 Char"/>
    <w:basedOn w:val="1Char"/>
    <w:link w:val="TOC11"/>
    <w:uiPriority w:val="99"/>
    <w:qFormat/>
    <w:rPr>
      <w:rFonts w:ascii="Cambria" w:eastAsia="宋体" w:hAnsi="Cambria" w:cs="Times New Roman"/>
      <w:b/>
      <w:bCs/>
      <w:color w:val="365F91"/>
      <w:kern w:val="0"/>
      <w:sz w:val="28"/>
      <w:szCs w:val="28"/>
    </w:rPr>
  </w:style>
  <w:style w:type="character" w:customStyle="1" w:styleId="Char8">
    <w:name w:val="目录样式 Char"/>
    <w:basedOn w:val="TOC1Char"/>
    <w:link w:val="af0"/>
    <w:qFormat/>
    <w:rPr>
      <w:rFonts w:ascii="仿宋_GB2312" w:eastAsia="仿宋_GB2312" w:hAnsi="Cambria" w:cs="Times New Roman"/>
      <w:b/>
      <w:bCs/>
      <w:color w:val="365F91"/>
      <w:kern w:val="0"/>
      <w:sz w:val="30"/>
      <w:szCs w:val="30"/>
      <w:lang w:val="zh-CN"/>
    </w:rPr>
  </w:style>
  <w:style w:type="paragraph" w:styleId="af1">
    <w:name w:val="No Spacing"/>
    <w:basedOn w:val="a"/>
    <w:uiPriority w:val="1"/>
    <w:qFormat/>
    <w:pPr>
      <w:adjustRightInd w:val="0"/>
      <w:snapToGrid w:val="0"/>
    </w:pPr>
    <w:rPr>
      <w:rFonts w:ascii="仿宋_GB2312" w:eastAsia="仿宋_GB2312" w:hAnsi="Times New Roman" w:cs="Times New Roman"/>
      <w:color w:val="000000"/>
      <w:szCs w:val="30"/>
    </w:rPr>
  </w:style>
  <w:style w:type="paragraph" w:customStyle="1" w:styleId="af2">
    <w:name w:val="第一章"/>
    <w:basedOn w:val="a"/>
    <w:qFormat/>
    <w:pPr>
      <w:adjustRightInd w:val="0"/>
      <w:snapToGrid w:val="0"/>
      <w:spacing w:line="560" w:lineRule="exact"/>
      <w:jc w:val="center"/>
    </w:pPr>
    <w:rPr>
      <w:rFonts w:ascii="黑体" w:eastAsia="黑体" w:hAnsi="黑体" w:cs="Times New Roman"/>
      <w:sz w:val="32"/>
      <w:szCs w:val="30"/>
    </w:rPr>
  </w:style>
  <w:style w:type="paragraph" w:customStyle="1" w:styleId="af3">
    <w:name w:val="附件标题"/>
    <w:basedOn w:val="-"/>
    <w:link w:val="Char9"/>
    <w:qFormat/>
  </w:style>
  <w:style w:type="paragraph" w:customStyle="1" w:styleId="af4">
    <w:name w:val="附件二级"/>
    <w:basedOn w:val="-"/>
    <w:link w:val="Chara"/>
    <w:qFormat/>
    <w:pPr>
      <w:jc w:val="left"/>
    </w:pPr>
    <w:rPr>
      <w:rFonts w:eastAsia="仿宋_GB2312"/>
      <w:b/>
      <w:lang w:bidi="en-US"/>
    </w:rPr>
  </w:style>
  <w:style w:type="character" w:customStyle="1" w:styleId="Char9">
    <w:name w:val="附件标题 Char"/>
    <w:basedOn w:val="-Char"/>
    <w:link w:val="af3"/>
    <w:qFormat/>
    <w:rPr>
      <w:rFonts w:ascii="Times New Roman" w:eastAsia="黑体" w:hAnsi="Times New Roman" w:cs="Times New Roman"/>
      <w:bCs/>
      <w:color w:val="000000"/>
      <w:kern w:val="0"/>
      <w:sz w:val="32"/>
      <w:szCs w:val="30"/>
    </w:rPr>
  </w:style>
  <w:style w:type="character" w:customStyle="1" w:styleId="Chara">
    <w:name w:val="附件二级 Char"/>
    <w:basedOn w:val="-Char"/>
    <w:link w:val="af4"/>
    <w:qFormat/>
    <w:rPr>
      <w:rFonts w:ascii="Times New Roman" w:eastAsia="仿宋_GB2312" w:hAnsi="Times New Roman" w:cs="Times New Roman"/>
      <w:b/>
      <w:bCs/>
      <w:color w:val="000000"/>
      <w:kern w:val="0"/>
      <w:sz w:val="32"/>
      <w:szCs w:val="30"/>
      <w:lang w:bidi="en-US"/>
    </w:rPr>
  </w:style>
  <w:style w:type="character" w:customStyle="1" w:styleId="2Char">
    <w:name w:val="标题 2 Char"/>
    <w:basedOn w:val="a0"/>
    <w:link w:val="2"/>
    <w:uiPriority w:val="9"/>
    <w:qFormat/>
    <w:rPr>
      <w:rFonts w:ascii="宋体" w:eastAsia="宋体" w:hAnsi="宋体" w:cs="Times New Roman"/>
      <w:b/>
      <w:kern w:val="0"/>
      <w:sz w:val="36"/>
      <w:szCs w:val="36"/>
    </w:rPr>
  </w:style>
  <w:style w:type="character" w:customStyle="1" w:styleId="Char1">
    <w:name w:val="纯文本 Char"/>
    <w:link w:val="a5"/>
    <w:qFormat/>
    <w:rPr>
      <w:rFonts w:ascii="宋体" w:hAnsi="宋体"/>
      <w:sz w:val="24"/>
      <w:lang w:eastAsia="en-US"/>
    </w:rPr>
  </w:style>
  <w:style w:type="character" w:customStyle="1" w:styleId="Charb">
    <w:name w:val="列出段落 Char"/>
    <w:link w:val="af5"/>
    <w:uiPriority w:val="34"/>
    <w:qFormat/>
    <w:locked/>
    <w:rPr>
      <w:rFonts w:ascii="Calibri" w:hAnsi="Calibri"/>
    </w:rPr>
  </w:style>
  <w:style w:type="paragraph" w:styleId="af5">
    <w:name w:val="List Paragraph"/>
    <w:basedOn w:val="a"/>
    <w:link w:val="Charb"/>
    <w:uiPriority w:val="34"/>
    <w:qFormat/>
    <w:pPr>
      <w:spacing w:line="560" w:lineRule="exact"/>
      <w:ind w:firstLineChars="200" w:firstLine="420"/>
    </w:pPr>
    <w:rPr>
      <w:rFonts w:ascii="Calibri" w:hAnsi="Calibri"/>
    </w:rPr>
  </w:style>
  <w:style w:type="character" w:customStyle="1" w:styleId="Char10">
    <w:name w:val="批注文字 Char1"/>
    <w:basedOn w:val="a0"/>
    <w:uiPriority w:val="99"/>
    <w:semiHidden/>
    <w:qFormat/>
    <w:rPr>
      <w:rFonts w:ascii="Calibri" w:eastAsia="宋体" w:hAnsi="Calibri" w:cs="Times New Roman"/>
      <w:szCs w:val="24"/>
    </w:rPr>
  </w:style>
  <w:style w:type="character" w:customStyle="1" w:styleId="Char2">
    <w:name w:val="日期 Char"/>
    <w:basedOn w:val="a0"/>
    <w:link w:val="a6"/>
    <w:qFormat/>
    <w:rPr>
      <w:rFonts w:ascii="宋体" w:eastAsia="仿宋" w:hAnsi="Times New Roman" w:cs="Times New Roman"/>
      <w:sz w:val="24"/>
      <w:szCs w:val="20"/>
    </w:rPr>
  </w:style>
  <w:style w:type="character" w:customStyle="1" w:styleId="Char11">
    <w:name w:val="纯文本 Char1"/>
    <w:basedOn w:val="a0"/>
    <w:uiPriority w:val="99"/>
    <w:semiHidden/>
    <w:qFormat/>
    <w:rPr>
      <w:rFonts w:ascii="宋体" w:eastAsia="宋体" w:hAnsi="Courier New" w:cs="Courier New"/>
      <w:szCs w:val="21"/>
    </w:rPr>
  </w:style>
  <w:style w:type="paragraph" w:customStyle="1" w:styleId="af6">
    <w:name w:val="报告正文"/>
    <w:basedOn w:val="a"/>
    <w:link w:val="Charc"/>
    <w:qFormat/>
    <w:pPr>
      <w:overflowPunct w:val="0"/>
      <w:autoSpaceDN w:val="0"/>
      <w:spacing w:line="600" w:lineRule="exact"/>
      <w:ind w:firstLineChars="200" w:firstLine="200"/>
    </w:pPr>
    <w:rPr>
      <w:rFonts w:ascii="仿宋_GB2312" w:eastAsia="仿宋_GB2312"/>
      <w:sz w:val="30"/>
      <w:szCs w:val="30"/>
    </w:rPr>
  </w:style>
  <w:style w:type="character" w:customStyle="1" w:styleId="Charc">
    <w:name w:val="报告正文 Char"/>
    <w:basedOn w:val="a0"/>
    <w:link w:val="af6"/>
    <w:qFormat/>
    <w:rPr>
      <w:rFonts w:ascii="仿宋_GB2312" w:eastAsia="仿宋_GB2312"/>
      <w:sz w:val="30"/>
      <w:szCs w:val="30"/>
    </w:rPr>
  </w:style>
  <w:style w:type="table" w:customStyle="1" w:styleId="13">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unhideWhenUsed/>
    <w:rsid w:val="007D64B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qFormat="1"/>
    <w:lsdException w:name="annotation text" w:semiHidden="0"/>
    <w:lsdException w:name="header" w:semiHidden="0" w:qFormat="1"/>
    <w:lsdException w:name="footer" w:semiHidden="0"/>
    <w:lsdException w:name="caption" w:uiPriority="35" w:qFormat="1"/>
    <w:lsdException w:name="footnote reference"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adjustRightInd w:val="0"/>
      <w:snapToGrid w:val="0"/>
      <w:spacing w:before="340" w:after="330" w:line="578" w:lineRule="auto"/>
      <w:ind w:firstLineChars="200" w:firstLine="200"/>
      <w:outlineLvl w:val="0"/>
    </w:pPr>
    <w:rPr>
      <w:rFonts w:ascii="仿宋_GB2312" w:eastAsia="仿宋_GB2312" w:hAnsi="Times New Roman" w:cs="Times New Roman"/>
      <w:b/>
      <w:bCs/>
      <w:color w:val="000000"/>
      <w:kern w:val="44"/>
      <w:sz w:val="44"/>
      <w:szCs w:val="44"/>
    </w:rPr>
  </w:style>
  <w:style w:type="paragraph" w:styleId="2">
    <w:name w:val="heading 2"/>
    <w:basedOn w:val="a"/>
    <w:next w:val="a"/>
    <w:link w:val="2Char"/>
    <w:uiPriority w:val="9"/>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Document Map"/>
    <w:basedOn w:val="a"/>
    <w:link w:val="Char"/>
    <w:uiPriority w:val="99"/>
    <w:semiHidden/>
    <w:unhideWhenUsed/>
    <w:qFormat/>
    <w:pPr>
      <w:adjustRightInd w:val="0"/>
      <w:snapToGrid w:val="0"/>
      <w:spacing w:line="560" w:lineRule="exact"/>
      <w:ind w:firstLineChars="200" w:firstLine="200"/>
    </w:pPr>
    <w:rPr>
      <w:rFonts w:ascii="宋体" w:eastAsia="宋体" w:hAnsi="Times New Roman" w:cs="Times New Roman"/>
      <w:color w:val="000000"/>
      <w:sz w:val="18"/>
      <w:szCs w:val="18"/>
    </w:rPr>
  </w:style>
  <w:style w:type="paragraph" w:styleId="a4">
    <w:name w:val="annotation text"/>
    <w:basedOn w:val="a"/>
    <w:link w:val="Char0"/>
    <w:uiPriority w:val="99"/>
    <w:unhideWhenUsed/>
    <w:pPr>
      <w:adjustRightInd w:val="0"/>
      <w:snapToGrid w:val="0"/>
      <w:spacing w:line="560" w:lineRule="exact"/>
      <w:ind w:firstLineChars="200" w:firstLine="200"/>
      <w:jc w:val="left"/>
    </w:pPr>
    <w:rPr>
      <w:rFonts w:ascii="仿宋_GB2312" w:eastAsia="仿宋_GB2312" w:hAnsi="Times New Roman" w:cs="Times New Roman"/>
      <w:color w:val="000000"/>
      <w:sz w:val="32"/>
      <w:szCs w:val="30"/>
    </w:rPr>
  </w:style>
  <w:style w:type="paragraph" w:styleId="5">
    <w:name w:val="toc 5"/>
    <w:basedOn w:val="a"/>
    <w:next w:val="a"/>
    <w:uiPriority w:val="39"/>
    <w:unhideWhenUsed/>
    <w:qFormat/>
    <w:pPr>
      <w:ind w:leftChars="800" w:left="1680"/>
    </w:pPr>
  </w:style>
  <w:style w:type="paragraph" w:styleId="3">
    <w:name w:val="toc 3"/>
    <w:basedOn w:val="a"/>
    <w:next w:val="a"/>
    <w:uiPriority w:val="39"/>
    <w:unhideWhenUsed/>
    <w:qFormat/>
    <w:pPr>
      <w:widowControl/>
      <w:adjustRightInd w:val="0"/>
      <w:snapToGrid w:val="0"/>
      <w:spacing w:after="100" w:line="276" w:lineRule="auto"/>
      <w:ind w:left="440" w:firstLineChars="200" w:firstLine="200"/>
      <w:jc w:val="left"/>
    </w:pPr>
    <w:rPr>
      <w:rFonts w:ascii="仿宋_GB2312" w:eastAsia="仿宋_GB2312" w:hAnsi="Times New Roman" w:cs="Times New Roman"/>
      <w:color w:val="000000"/>
      <w:kern w:val="0"/>
      <w:sz w:val="22"/>
      <w:szCs w:val="30"/>
    </w:rPr>
  </w:style>
  <w:style w:type="paragraph" w:styleId="a5">
    <w:name w:val="Plain Text"/>
    <w:basedOn w:val="a"/>
    <w:link w:val="Char1"/>
    <w:pPr>
      <w:widowControl/>
      <w:spacing w:line="360" w:lineRule="auto"/>
      <w:ind w:firstLineChars="200" w:firstLine="420"/>
    </w:pPr>
    <w:rPr>
      <w:rFonts w:ascii="宋体" w:hAnsi="宋体"/>
      <w:sz w:val="24"/>
      <w:lang w:eastAsia="en-US"/>
    </w:rPr>
  </w:style>
  <w:style w:type="paragraph" w:styleId="8">
    <w:name w:val="toc 8"/>
    <w:basedOn w:val="a"/>
    <w:next w:val="a"/>
    <w:uiPriority w:val="39"/>
    <w:unhideWhenUsed/>
    <w:qFormat/>
    <w:pPr>
      <w:ind w:leftChars="1400" w:left="2940"/>
    </w:pPr>
  </w:style>
  <w:style w:type="paragraph" w:styleId="a6">
    <w:name w:val="Date"/>
    <w:basedOn w:val="a"/>
    <w:next w:val="a"/>
    <w:link w:val="Char2"/>
    <w:pPr>
      <w:spacing w:line="560" w:lineRule="exact"/>
    </w:pPr>
    <w:rPr>
      <w:rFonts w:ascii="宋体" w:eastAsia="仿宋" w:hAnsi="Times New Roman" w:cs="Times New Roman"/>
      <w:sz w:val="24"/>
      <w:szCs w:val="20"/>
    </w:rPr>
  </w:style>
  <w:style w:type="paragraph" w:styleId="a7">
    <w:name w:val="Balloon Text"/>
    <w:basedOn w:val="a"/>
    <w:link w:val="Char3"/>
    <w:uiPriority w:val="99"/>
    <w:semiHidden/>
    <w:unhideWhenUsed/>
    <w:qFormat/>
    <w:pPr>
      <w:adjustRightInd w:val="0"/>
      <w:snapToGrid w:val="0"/>
      <w:spacing w:line="560" w:lineRule="exact"/>
      <w:ind w:firstLineChars="200" w:firstLine="200"/>
    </w:pPr>
    <w:rPr>
      <w:rFonts w:ascii="仿宋_GB2312" w:eastAsia="仿宋_GB2312" w:hAnsi="Times New Roman" w:cs="Times New Roman"/>
      <w:color w:val="000000"/>
      <w:sz w:val="18"/>
      <w:szCs w:val="18"/>
    </w:rPr>
  </w:style>
  <w:style w:type="paragraph" w:styleId="a8">
    <w:name w:val="footer"/>
    <w:basedOn w:val="a"/>
    <w:link w:val="Char4"/>
    <w:uiPriority w:val="99"/>
    <w:unhideWhenUsed/>
    <w:pPr>
      <w:tabs>
        <w:tab w:val="center" w:pos="4153"/>
        <w:tab w:val="right" w:pos="8306"/>
      </w:tabs>
      <w:adjustRightInd w:val="0"/>
      <w:snapToGrid w:val="0"/>
      <w:spacing w:line="560" w:lineRule="exact"/>
      <w:ind w:firstLineChars="200" w:firstLine="200"/>
      <w:jc w:val="left"/>
    </w:pPr>
    <w:rPr>
      <w:rFonts w:ascii="仿宋_GB2312" w:eastAsia="仿宋_GB2312" w:hAnsi="Times New Roman" w:cs="Times New Roman"/>
      <w:color w:val="000000"/>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adjustRightInd w:val="0"/>
      <w:snapToGrid w:val="0"/>
      <w:spacing w:line="560" w:lineRule="exact"/>
      <w:ind w:firstLineChars="200" w:firstLine="200"/>
      <w:jc w:val="center"/>
    </w:pPr>
    <w:rPr>
      <w:rFonts w:ascii="仿宋_GB2312" w:eastAsia="仿宋_GB2312" w:hAnsi="Times New Roman" w:cs="Times New Roman"/>
      <w:color w:val="000000"/>
      <w:sz w:val="18"/>
      <w:szCs w:val="18"/>
    </w:rPr>
  </w:style>
  <w:style w:type="paragraph" w:styleId="10">
    <w:name w:val="toc 1"/>
    <w:basedOn w:val="a"/>
    <w:next w:val="a"/>
    <w:uiPriority w:val="39"/>
    <w:unhideWhenUsed/>
    <w:qFormat/>
    <w:pPr>
      <w:tabs>
        <w:tab w:val="right" w:leader="dot" w:pos="8296"/>
      </w:tabs>
      <w:overflowPunct w:val="0"/>
      <w:adjustRightInd w:val="0"/>
      <w:snapToGrid w:val="0"/>
      <w:spacing w:line="360" w:lineRule="auto"/>
      <w:ind w:firstLineChars="200" w:firstLine="482"/>
    </w:pPr>
    <w:rPr>
      <w:rFonts w:ascii="仿宋_GB2312" w:eastAsia="仿宋_GB2312" w:hAnsi="Times New Roman" w:cs="Times New Roman"/>
      <w:b/>
      <w:color w:val="000000"/>
      <w:sz w:val="22"/>
      <w:szCs w:val="30"/>
    </w:rPr>
  </w:style>
  <w:style w:type="paragraph" w:styleId="4">
    <w:name w:val="toc 4"/>
    <w:basedOn w:val="a"/>
    <w:next w:val="a"/>
    <w:uiPriority w:val="39"/>
    <w:unhideWhenUsed/>
    <w:qFormat/>
    <w:pPr>
      <w:ind w:leftChars="600" w:left="1260"/>
    </w:pPr>
  </w:style>
  <w:style w:type="paragraph" w:styleId="aa">
    <w:name w:val="footnote text"/>
    <w:basedOn w:val="a"/>
    <w:link w:val="Char6"/>
    <w:uiPriority w:val="99"/>
    <w:unhideWhenUsed/>
    <w:qFormat/>
    <w:pPr>
      <w:adjustRightInd w:val="0"/>
      <w:snapToGrid w:val="0"/>
      <w:spacing w:line="560" w:lineRule="exact"/>
      <w:ind w:firstLineChars="200" w:firstLine="200"/>
      <w:jc w:val="left"/>
    </w:pPr>
    <w:rPr>
      <w:rFonts w:ascii="仿宋_GB2312" w:eastAsia="仿宋_GB2312" w:hAnsi="Times New Roman" w:cs="Times New Roman"/>
      <w:color w:val="000000"/>
      <w:sz w:val="18"/>
      <w:szCs w:val="18"/>
    </w:rPr>
  </w:style>
  <w:style w:type="paragraph" w:styleId="6">
    <w:name w:val="toc 6"/>
    <w:basedOn w:val="a"/>
    <w:next w:val="a"/>
    <w:uiPriority w:val="39"/>
    <w:unhideWhenUsed/>
    <w:qFormat/>
    <w:pPr>
      <w:ind w:leftChars="1000" w:left="2100"/>
    </w:pPr>
  </w:style>
  <w:style w:type="paragraph" w:styleId="20">
    <w:name w:val="toc 2"/>
    <w:basedOn w:val="a"/>
    <w:next w:val="a"/>
    <w:uiPriority w:val="39"/>
    <w:unhideWhenUsed/>
    <w:qFormat/>
    <w:pPr>
      <w:tabs>
        <w:tab w:val="left" w:pos="1580"/>
        <w:tab w:val="right" w:leader="dot" w:pos="8296"/>
      </w:tabs>
      <w:adjustRightInd w:val="0"/>
      <w:snapToGrid w:val="0"/>
      <w:spacing w:line="276" w:lineRule="auto"/>
      <w:ind w:leftChars="200" w:left="420" w:firstLineChars="200" w:firstLine="200"/>
    </w:pPr>
    <w:rPr>
      <w:rFonts w:ascii="仿宋_GB2312" w:eastAsia="仿宋_GB2312" w:hAnsi="Times New Roman" w:cs="Times New Roman"/>
      <w:color w:val="000000"/>
      <w:sz w:val="22"/>
      <w:szCs w:val="30"/>
    </w:rPr>
  </w:style>
  <w:style w:type="paragraph" w:styleId="9">
    <w:name w:val="toc 9"/>
    <w:basedOn w:val="a"/>
    <w:next w:val="a"/>
    <w:uiPriority w:val="39"/>
    <w:unhideWhenUsed/>
    <w:qFormat/>
    <w:pPr>
      <w:ind w:leftChars="1600" w:left="3360"/>
    </w:pPr>
  </w:style>
  <w:style w:type="paragraph" w:styleId="ab">
    <w:name w:val="annotation subject"/>
    <w:basedOn w:val="a4"/>
    <w:next w:val="a4"/>
    <w:link w:val="Char7"/>
    <w:uiPriority w:val="99"/>
    <w:semiHidden/>
    <w:unhideWhenUsed/>
    <w:qFormat/>
    <w:rPr>
      <w:b/>
      <w:bCs/>
    </w:rPr>
  </w:style>
  <w:style w:type="table" w:styleId="ac">
    <w:name w:val="Table Grid"/>
    <w:basedOn w:val="a1"/>
    <w:uiPriority w:val="59"/>
    <w:qFormat/>
    <w:pPr>
      <w:spacing w:line="276" w:lineRule="auto"/>
    </w:pPr>
    <w:rPr>
      <w:rFonts w:ascii="Times New Roman" w:eastAsia="仿宋_GB2312" w:hAnsi="Times New Roman" w:cs="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tblStylePr w:type="firstRow">
      <w:rPr>
        <w:b/>
      </w:rPr>
      <w:tblPr/>
      <w:trPr>
        <w:cantSplit/>
        <w:tblHeader/>
      </w:trPr>
    </w:tblStylePr>
  </w:style>
  <w:style w:type="character" w:styleId="ad">
    <w:name w:val="Hyperlink"/>
    <w:basedOn w:val="a0"/>
    <w:uiPriority w:val="99"/>
    <w:unhideWhenUsed/>
    <w:qFormat/>
    <w:rPr>
      <w:color w:val="0000FF"/>
      <w:u w:val="single"/>
    </w:rPr>
  </w:style>
  <w:style w:type="character" w:styleId="ae">
    <w:name w:val="annotation reference"/>
    <w:basedOn w:val="a0"/>
    <w:uiPriority w:val="99"/>
    <w:unhideWhenUsed/>
    <w:qFormat/>
    <w:rPr>
      <w:sz w:val="21"/>
      <w:szCs w:val="21"/>
    </w:rPr>
  </w:style>
  <w:style w:type="character" w:styleId="af">
    <w:name w:val="footnote reference"/>
    <w:basedOn w:val="a0"/>
    <w:uiPriority w:val="99"/>
    <w:semiHidden/>
    <w:unhideWhenUsed/>
    <w:qFormat/>
    <w:rPr>
      <w:vertAlign w:val="superscript"/>
    </w:rPr>
  </w:style>
  <w:style w:type="character" w:customStyle="1" w:styleId="1Char">
    <w:name w:val="标题 1 Char"/>
    <w:basedOn w:val="a0"/>
    <w:link w:val="1"/>
    <w:uiPriority w:val="9"/>
    <w:qFormat/>
    <w:rPr>
      <w:rFonts w:ascii="仿宋_GB2312" w:eastAsia="仿宋_GB2312" w:hAnsi="Times New Roman" w:cs="Times New Roman"/>
      <w:b/>
      <w:bCs/>
      <w:color w:val="000000"/>
      <w:kern w:val="44"/>
      <w:sz w:val="44"/>
      <w:szCs w:val="44"/>
    </w:rPr>
  </w:style>
  <w:style w:type="character" w:customStyle="1" w:styleId="Char5">
    <w:name w:val="页眉 Char"/>
    <w:basedOn w:val="a0"/>
    <w:link w:val="a9"/>
    <w:uiPriority w:val="99"/>
    <w:qFormat/>
    <w:rPr>
      <w:rFonts w:ascii="仿宋_GB2312" w:eastAsia="仿宋_GB2312" w:hAnsi="Times New Roman" w:cs="Times New Roman"/>
      <w:color w:val="000000"/>
      <w:sz w:val="18"/>
      <w:szCs w:val="18"/>
    </w:rPr>
  </w:style>
  <w:style w:type="character" w:customStyle="1" w:styleId="Char4">
    <w:name w:val="页脚 Char"/>
    <w:basedOn w:val="a0"/>
    <w:link w:val="a8"/>
    <w:uiPriority w:val="99"/>
    <w:qFormat/>
    <w:rPr>
      <w:rFonts w:ascii="仿宋_GB2312" w:eastAsia="仿宋_GB2312" w:hAnsi="Times New Roman" w:cs="Times New Roman"/>
      <w:color w:val="000000"/>
      <w:sz w:val="18"/>
      <w:szCs w:val="18"/>
    </w:rPr>
  </w:style>
  <w:style w:type="paragraph" w:customStyle="1" w:styleId="11">
    <w:name w:val="列出段落1"/>
    <w:basedOn w:val="a"/>
    <w:uiPriority w:val="99"/>
    <w:qFormat/>
    <w:pPr>
      <w:adjustRightInd w:val="0"/>
      <w:snapToGrid w:val="0"/>
      <w:spacing w:line="560" w:lineRule="exact"/>
      <w:ind w:firstLineChars="200" w:firstLine="420"/>
    </w:pPr>
    <w:rPr>
      <w:rFonts w:ascii="Calibri" w:eastAsia="宋体" w:hAnsi="Calibri" w:cs="Times New Roman"/>
      <w:color w:val="000000"/>
      <w:sz w:val="32"/>
      <w:szCs w:val="30"/>
    </w:rPr>
  </w:style>
  <w:style w:type="character" w:customStyle="1" w:styleId="Char3">
    <w:name w:val="批注框文本 Char"/>
    <w:basedOn w:val="a0"/>
    <w:link w:val="a7"/>
    <w:uiPriority w:val="99"/>
    <w:semiHidden/>
    <w:qFormat/>
    <w:rPr>
      <w:rFonts w:ascii="仿宋_GB2312" w:eastAsia="仿宋_GB2312" w:hAnsi="Times New Roman" w:cs="Times New Roman"/>
      <w:color w:val="000000"/>
      <w:sz w:val="18"/>
      <w:szCs w:val="18"/>
    </w:rPr>
  </w:style>
  <w:style w:type="character" w:customStyle="1" w:styleId="Char">
    <w:name w:val="文档结构图 Char"/>
    <w:basedOn w:val="a0"/>
    <w:link w:val="a3"/>
    <w:uiPriority w:val="99"/>
    <w:semiHidden/>
    <w:qFormat/>
    <w:rPr>
      <w:rFonts w:ascii="宋体" w:eastAsia="宋体" w:hAnsi="Times New Roman" w:cs="Times New Roman"/>
      <w:color w:val="000000"/>
      <w:sz w:val="18"/>
      <w:szCs w:val="18"/>
    </w:rPr>
  </w:style>
  <w:style w:type="character" w:customStyle="1" w:styleId="Char0">
    <w:name w:val="批注文字 Char"/>
    <w:basedOn w:val="a0"/>
    <w:link w:val="a4"/>
    <w:uiPriority w:val="99"/>
    <w:qFormat/>
    <w:rPr>
      <w:rFonts w:ascii="仿宋_GB2312" w:eastAsia="仿宋_GB2312" w:hAnsi="Times New Roman" w:cs="Times New Roman"/>
      <w:color w:val="000000"/>
      <w:sz w:val="32"/>
      <w:szCs w:val="30"/>
    </w:rPr>
  </w:style>
  <w:style w:type="character" w:customStyle="1" w:styleId="Char7">
    <w:name w:val="批注主题 Char"/>
    <w:basedOn w:val="Char0"/>
    <w:link w:val="ab"/>
    <w:uiPriority w:val="99"/>
    <w:semiHidden/>
    <w:qFormat/>
    <w:rPr>
      <w:rFonts w:ascii="仿宋_GB2312" w:eastAsia="仿宋_GB2312" w:hAnsi="Times New Roman" w:cs="Times New Roman"/>
      <w:b/>
      <w:bCs/>
      <w:color w:val="000000"/>
      <w:sz w:val="32"/>
      <w:szCs w:val="30"/>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6">
    <w:name w:val="脚注文本 Char"/>
    <w:basedOn w:val="a0"/>
    <w:link w:val="aa"/>
    <w:uiPriority w:val="99"/>
    <w:qFormat/>
    <w:rPr>
      <w:rFonts w:ascii="仿宋_GB2312" w:eastAsia="仿宋_GB2312" w:hAnsi="Times New Roman" w:cs="Times New Roman"/>
      <w:color w:val="000000"/>
      <w:sz w:val="18"/>
      <w:szCs w:val="18"/>
    </w:rPr>
  </w:style>
  <w:style w:type="paragraph" w:customStyle="1" w:styleId="12">
    <w:name w:val="修订1"/>
    <w:hidden/>
    <w:uiPriority w:val="99"/>
    <w:semiHidden/>
    <w:qFormat/>
    <w:rPr>
      <w:rFonts w:ascii="Calibri" w:eastAsia="宋体" w:hAnsi="Calibri" w:cs="Times New Roman"/>
      <w:kern w:val="2"/>
      <w:sz w:val="21"/>
      <w:szCs w:val="22"/>
    </w:rPr>
  </w:style>
  <w:style w:type="paragraph" w:customStyle="1" w:styleId="Style3">
    <w:name w:val="_Style 3"/>
    <w:basedOn w:val="a"/>
    <w:qFormat/>
    <w:pPr>
      <w:adjustRightInd w:val="0"/>
      <w:snapToGrid w:val="0"/>
      <w:spacing w:line="560" w:lineRule="exact"/>
      <w:ind w:firstLineChars="200" w:firstLine="420"/>
    </w:pPr>
    <w:rPr>
      <w:rFonts w:ascii="Times New Roman" w:eastAsia="宋体" w:hAnsi="Times New Roman" w:cs="Times New Roman"/>
      <w:color w:val="000000"/>
      <w:sz w:val="32"/>
      <w:szCs w:val="3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
    <w:name w:val="一级标题-指南一"/>
    <w:basedOn w:val="a"/>
    <w:link w:val="-Char"/>
    <w:qFormat/>
    <w:pPr>
      <w:adjustRightInd w:val="0"/>
      <w:snapToGrid w:val="0"/>
      <w:spacing w:line="560" w:lineRule="exact"/>
      <w:jc w:val="center"/>
      <w:outlineLvl w:val="0"/>
    </w:pPr>
    <w:rPr>
      <w:rFonts w:ascii="Times New Roman" w:eastAsia="黑体" w:hAnsi="Times New Roman" w:cs="Times New Roman"/>
      <w:bCs/>
      <w:color w:val="000000"/>
      <w:kern w:val="0"/>
      <w:sz w:val="32"/>
      <w:szCs w:val="30"/>
    </w:rPr>
  </w:style>
  <w:style w:type="character" w:customStyle="1" w:styleId="-Char">
    <w:name w:val="一级标题-指南一 Char"/>
    <w:basedOn w:val="a0"/>
    <w:link w:val="-"/>
    <w:qFormat/>
    <w:rPr>
      <w:rFonts w:ascii="Times New Roman" w:eastAsia="黑体" w:hAnsi="Times New Roman" w:cs="Times New Roman"/>
      <w:bCs/>
      <w:color w:val="000000"/>
      <w:kern w:val="0"/>
      <w:sz w:val="32"/>
      <w:szCs w:val="30"/>
    </w:rPr>
  </w:style>
  <w:style w:type="paragraph" w:customStyle="1" w:styleId="-0">
    <w:name w:val="二级标题-指南二"/>
    <w:basedOn w:val="a"/>
    <w:link w:val="-Char0"/>
    <w:qFormat/>
    <w:pPr>
      <w:adjustRightInd w:val="0"/>
      <w:snapToGrid w:val="0"/>
      <w:spacing w:line="560" w:lineRule="exact"/>
      <w:jc w:val="center"/>
      <w:outlineLvl w:val="1"/>
    </w:pPr>
    <w:rPr>
      <w:rFonts w:ascii="Times New Roman" w:eastAsia="楷体_GB2312" w:hAnsi="Times New Roman" w:cs="Times New Roman"/>
      <w:bCs/>
      <w:color w:val="000000"/>
      <w:kern w:val="0"/>
      <w:sz w:val="32"/>
      <w:szCs w:val="30"/>
    </w:rPr>
  </w:style>
  <w:style w:type="character" w:customStyle="1" w:styleId="-Char0">
    <w:name w:val="二级标题-指南二 Char"/>
    <w:basedOn w:val="a0"/>
    <w:link w:val="-0"/>
    <w:qFormat/>
    <w:rPr>
      <w:rFonts w:ascii="Times New Roman" w:eastAsia="楷体_GB2312" w:hAnsi="Times New Roman" w:cs="Times New Roman"/>
      <w:bCs/>
      <w:color w:val="000000"/>
      <w:kern w:val="0"/>
      <w:sz w:val="32"/>
      <w:szCs w:val="30"/>
    </w:rPr>
  </w:style>
  <w:style w:type="paragraph" w:customStyle="1" w:styleId="TOC11">
    <w:name w:val="TOC 标题11"/>
    <w:basedOn w:val="1"/>
    <w:next w:val="a"/>
    <w:link w:val="TOC1Char"/>
    <w:uiPriority w:val="9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af0">
    <w:name w:val="目录样式"/>
    <w:basedOn w:val="TOC11"/>
    <w:link w:val="Char8"/>
    <w:qFormat/>
    <w:pPr>
      <w:widowControl w:val="0"/>
      <w:spacing w:line="560" w:lineRule="exact"/>
      <w:jc w:val="center"/>
    </w:pPr>
    <w:rPr>
      <w:rFonts w:ascii="仿宋_GB2312" w:eastAsia="仿宋_GB2312"/>
      <w:sz w:val="30"/>
      <w:szCs w:val="30"/>
      <w:lang w:val="zh-CN"/>
    </w:rPr>
  </w:style>
  <w:style w:type="character" w:customStyle="1" w:styleId="TOC1Char">
    <w:name w:val="TOC 标题1 Char"/>
    <w:basedOn w:val="1Char"/>
    <w:link w:val="TOC11"/>
    <w:uiPriority w:val="99"/>
    <w:qFormat/>
    <w:rPr>
      <w:rFonts w:ascii="Cambria" w:eastAsia="宋体" w:hAnsi="Cambria" w:cs="Times New Roman"/>
      <w:b/>
      <w:bCs/>
      <w:color w:val="365F91"/>
      <w:kern w:val="0"/>
      <w:sz w:val="28"/>
      <w:szCs w:val="28"/>
    </w:rPr>
  </w:style>
  <w:style w:type="character" w:customStyle="1" w:styleId="Char8">
    <w:name w:val="目录样式 Char"/>
    <w:basedOn w:val="TOC1Char"/>
    <w:link w:val="af0"/>
    <w:qFormat/>
    <w:rPr>
      <w:rFonts w:ascii="仿宋_GB2312" w:eastAsia="仿宋_GB2312" w:hAnsi="Cambria" w:cs="Times New Roman"/>
      <w:b/>
      <w:bCs/>
      <w:color w:val="365F91"/>
      <w:kern w:val="0"/>
      <w:sz w:val="30"/>
      <w:szCs w:val="30"/>
      <w:lang w:val="zh-CN"/>
    </w:rPr>
  </w:style>
  <w:style w:type="paragraph" w:styleId="af1">
    <w:name w:val="No Spacing"/>
    <w:basedOn w:val="a"/>
    <w:uiPriority w:val="1"/>
    <w:qFormat/>
    <w:pPr>
      <w:adjustRightInd w:val="0"/>
      <w:snapToGrid w:val="0"/>
    </w:pPr>
    <w:rPr>
      <w:rFonts w:ascii="仿宋_GB2312" w:eastAsia="仿宋_GB2312" w:hAnsi="Times New Roman" w:cs="Times New Roman"/>
      <w:color w:val="000000"/>
      <w:szCs w:val="30"/>
    </w:rPr>
  </w:style>
  <w:style w:type="paragraph" w:customStyle="1" w:styleId="af2">
    <w:name w:val="第一章"/>
    <w:basedOn w:val="a"/>
    <w:qFormat/>
    <w:pPr>
      <w:adjustRightInd w:val="0"/>
      <w:snapToGrid w:val="0"/>
      <w:spacing w:line="560" w:lineRule="exact"/>
      <w:jc w:val="center"/>
    </w:pPr>
    <w:rPr>
      <w:rFonts w:ascii="黑体" w:eastAsia="黑体" w:hAnsi="黑体" w:cs="Times New Roman"/>
      <w:sz w:val="32"/>
      <w:szCs w:val="30"/>
    </w:rPr>
  </w:style>
  <w:style w:type="paragraph" w:customStyle="1" w:styleId="af3">
    <w:name w:val="附件标题"/>
    <w:basedOn w:val="-"/>
    <w:link w:val="Char9"/>
    <w:qFormat/>
  </w:style>
  <w:style w:type="paragraph" w:customStyle="1" w:styleId="af4">
    <w:name w:val="附件二级"/>
    <w:basedOn w:val="-"/>
    <w:link w:val="Chara"/>
    <w:qFormat/>
    <w:pPr>
      <w:jc w:val="left"/>
    </w:pPr>
    <w:rPr>
      <w:rFonts w:eastAsia="仿宋_GB2312"/>
      <w:b/>
      <w:lang w:bidi="en-US"/>
    </w:rPr>
  </w:style>
  <w:style w:type="character" w:customStyle="1" w:styleId="Char9">
    <w:name w:val="附件标题 Char"/>
    <w:basedOn w:val="-Char"/>
    <w:link w:val="af3"/>
    <w:qFormat/>
    <w:rPr>
      <w:rFonts w:ascii="Times New Roman" w:eastAsia="黑体" w:hAnsi="Times New Roman" w:cs="Times New Roman"/>
      <w:bCs/>
      <w:color w:val="000000"/>
      <w:kern w:val="0"/>
      <w:sz w:val="32"/>
      <w:szCs w:val="30"/>
    </w:rPr>
  </w:style>
  <w:style w:type="character" w:customStyle="1" w:styleId="Chara">
    <w:name w:val="附件二级 Char"/>
    <w:basedOn w:val="-Char"/>
    <w:link w:val="af4"/>
    <w:qFormat/>
    <w:rPr>
      <w:rFonts w:ascii="Times New Roman" w:eastAsia="仿宋_GB2312" w:hAnsi="Times New Roman" w:cs="Times New Roman"/>
      <w:b/>
      <w:bCs/>
      <w:color w:val="000000"/>
      <w:kern w:val="0"/>
      <w:sz w:val="32"/>
      <w:szCs w:val="30"/>
      <w:lang w:bidi="en-US"/>
    </w:rPr>
  </w:style>
  <w:style w:type="character" w:customStyle="1" w:styleId="2Char">
    <w:name w:val="标题 2 Char"/>
    <w:basedOn w:val="a0"/>
    <w:link w:val="2"/>
    <w:uiPriority w:val="9"/>
    <w:qFormat/>
    <w:rPr>
      <w:rFonts w:ascii="宋体" w:eastAsia="宋体" w:hAnsi="宋体" w:cs="Times New Roman"/>
      <w:b/>
      <w:kern w:val="0"/>
      <w:sz w:val="36"/>
      <w:szCs w:val="36"/>
    </w:rPr>
  </w:style>
  <w:style w:type="character" w:customStyle="1" w:styleId="Char1">
    <w:name w:val="纯文本 Char"/>
    <w:link w:val="a5"/>
    <w:qFormat/>
    <w:rPr>
      <w:rFonts w:ascii="宋体" w:hAnsi="宋体"/>
      <w:sz w:val="24"/>
      <w:lang w:eastAsia="en-US"/>
    </w:rPr>
  </w:style>
  <w:style w:type="character" w:customStyle="1" w:styleId="Charb">
    <w:name w:val="列出段落 Char"/>
    <w:link w:val="af5"/>
    <w:uiPriority w:val="34"/>
    <w:qFormat/>
    <w:locked/>
    <w:rPr>
      <w:rFonts w:ascii="Calibri" w:hAnsi="Calibri"/>
    </w:rPr>
  </w:style>
  <w:style w:type="paragraph" w:styleId="af5">
    <w:name w:val="List Paragraph"/>
    <w:basedOn w:val="a"/>
    <w:link w:val="Charb"/>
    <w:uiPriority w:val="34"/>
    <w:qFormat/>
    <w:pPr>
      <w:spacing w:line="560" w:lineRule="exact"/>
      <w:ind w:firstLineChars="200" w:firstLine="420"/>
    </w:pPr>
    <w:rPr>
      <w:rFonts w:ascii="Calibri" w:hAnsi="Calibri"/>
    </w:rPr>
  </w:style>
  <w:style w:type="character" w:customStyle="1" w:styleId="Char10">
    <w:name w:val="批注文字 Char1"/>
    <w:basedOn w:val="a0"/>
    <w:uiPriority w:val="99"/>
    <w:semiHidden/>
    <w:qFormat/>
    <w:rPr>
      <w:rFonts w:ascii="Calibri" w:eastAsia="宋体" w:hAnsi="Calibri" w:cs="Times New Roman"/>
      <w:szCs w:val="24"/>
    </w:rPr>
  </w:style>
  <w:style w:type="character" w:customStyle="1" w:styleId="Char2">
    <w:name w:val="日期 Char"/>
    <w:basedOn w:val="a0"/>
    <w:link w:val="a6"/>
    <w:qFormat/>
    <w:rPr>
      <w:rFonts w:ascii="宋体" w:eastAsia="仿宋" w:hAnsi="Times New Roman" w:cs="Times New Roman"/>
      <w:sz w:val="24"/>
      <w:szCs w:val="20"/>
    </w:rPr>
  </w:style>
  <w:style w:type="character" w:customStyle="1" w:styleId="Char11">
    <w:name w:val="纯文本 Char1"/>
    <w:basedOn w:val="a0"/>
    <w:uiPriority w:val="99"/>
    <w:semiHidden/>
    <w:qFormat/>
    <w:rPr>
      <w:rFonts w:ascii="宋体" w:eastAsia="宋体" w:hAnsi="Courier New" w:cs="Courier New"/>
      <w:szCs w:val="21"/>
    </w:rPr>
  </w:style>
  <w:style w:type="paragraph" w:customStyle="1" w:styleId="af6">
    <w:name w:val="报告正文"/>
    <w:basedOn w:val="a"/>
    <w:link w:val="Charc"/>
    <w:qFormat/>
    <w:pPr>
      <w:overflowPunct w:val="0"/>
      <w:autoSpaceDN w:val="0"/>
      <w:spacing w:line="600" w:lineRule="exact"/>
      <w:ind w:firstLineChars="200" w:firstLine="200"/>
    </w:pPr>
    <w:rPr>
      <w:rFonts w:ascii="仿宋_GB2312" w:eastAsia="仿宋_GB2312"/>
      <w:sz w:val="30"/>
      <w:szCs w:val="30"/>
    </w:rPr>
  </w:style>
  <w:style w:type="character" w:customStyle="1" w:styleId="Charc">
    <w:name w:val="报告正文 Char"/>
    <w:basedOn w:val="a0"/>
    <w:link w:val="af6"/>
    <w:qFormat/>
    <w:rPr>
      <w:rFonts w:ascii="仿宋_GB2312" w:eastAsia="仿宋_GB2312"/>
      <w:sz w:val="30"/>
      <w:szCs w:val="30"/>
    </w:rPr>
  </w:style>
  <w:style w:type="table" w:customStyle="1" w:styleId="13">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unhideWhenUsed/>
    <w:rsid w:val="007D64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2608</Words>
  <Characters>14867</Characters>
  <Application>Microsoft Office Word</Application>
  <DocSecurity>0</DocSecurity>
  <Lines>123</Lines>
  <Paragraphs>34</Paragraphs>
  <ScaleCrop>false</ScaleCrop>
  <Company>P R C</Company>
  <LinksUpToDate>false</LinksUpToDate>
  <CharactersWithSpaces>17441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廖甜甜[ttliao]</dc:creator>
  <cp:lastModifiedBy>辛雅婷</cp:lastModifiedBy>
  <cp:revision>7</cp:revision>
  <dcterms:created xsi:type="dcterms:W3CDTF">2022-04-29T01:40:00Z</dcterms:created>
  <dcterms:modified xsi:type="dcterms:W3CDTF">2022-04-29T12:59:00Z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5B97AA20644D43E892ADA667C88778EA</vt:lpwstr>
  </property>
</Properties>
</file>