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6C" w:rsidRDefault="00C4596C" w:rsidP="00C4596C">
      <w:pPr>
        <w:spacing w:line="360" w:lineRule="auto"/>
        <w:rPr>
          <w:rFonts w:ascii="仿宋" w:eastAsia="仿宋" w:hAnsi="仿宋"/>
          <w:sz w:val="32"/>
          <w:szCs w:val="32"/>
        </w:rPr>
      </w:pPr>
      <w:r>
        <w:rPr>
          <w:rFonts w:ascii="仿宋" w:eastAsia="仿宋" w:hAnsi="仿宋" w:hint="eastAsia"/>
          <w:sz w:val="32"/>
          <w:szCs w:val="32"/>
        </w:rPr>
        <w:t>附件：</w:t>
      </w:r>
    </w:p>
    <w:p w:rsidR="00C4596C" w:rsidRDefault="00C4596C" w:rsidP="00C4596C">
      <w:pPr>
        <w:spacing w:line="440" w:lineRule="exact"/>
        <w:jc w:val="center"/>
        <w:rPr>
          <w:rFonts w:ascii="黑体" w:eastAsia="黑体" w:hAnsi="黑体"/>
          <w:bCs/>
          <w:sz w:val="44"/>
          <w:szCs w:val="44"/>
        </w:rPr>
      </w:pPr>
    </w:p>
    <w:p w:rsidR="00D8240D" w:rsidRDefault="00C4596C" w:rsidP="00C4596C">
      <w:pPr>
        <w:spacing w:line="440" w:lineRule="exact"/>
        <w:jc w:val="center"/>
        <w:rPr>
          <w:rFonts w:ascii="黑体" w:eastAsia="黑体" w:hAnsi="黑体"/>
          <w:bCs/>
          <w:sz w:val="44"/>
          <w:szCs w:val="44"/>
        </w:rPr>
      </w:pPr>
      <w:r>
        <w:rPr>
          <w:rFonts w:ascii="黑体" w:eastAsia="黑体" w:hAnsi="黑体" w:hint="eastAsia"/>
          <w:bCs/>
          <w:sz w:val="44"/>
          <w:szCs w:val="44"/>
        </w:rPr>
        <w:t xml:space="preserve"> 规范“三去一降一补”</w:t>
      </w:r>
    </w:p>
    <w:p w:rsidR="00C4596C" w:rsidRDefault="00C4596C" w:rsidP="00C4596C">
      <w:pPr>
        <w:spacing w:line="440" w:lineRule="exact"/>
        <w:jc w:val="center"/>
        <w:rPr>
          <w:rFonts w:ascii="黑体" w:eastAsia="黑体" w:hAnsi="黑体"/>
          <w:bCs/>
          <w:sz w:val="44"/>
          <w:szCs w:val="44"/>
        </w:rPr>
      </w:pPr>
      <w:r>
        <w:rPr>
          <w:rFonts w:ascii="黑体" w:eastAsia="黑体" w:hAnsi="黑体" w:hint="eastAsia"/>
          <w:bCs/>
          <w:sz w:val="44"/>
          <w:szCs w:val="44"/>
        </w:rPr>
        <w:t>有关</w:t>
      </w:r>
      <w:r w:rsidR="00D8240D">
        <w:rPr>
          <w:rFonts w:ascii="黑体" w:eastAsia="黑体" w:hAnsi="黑体" w:hint="eastAsia"/>
          <w:bCs/>
          <w:sz w:val="44"/>
          <w:szCs w:val="44"/>
        </w:rPr>
        <w:t>业务的</w:t>
      </w:r>
      <w:r>
        <w:rPr>
          <w:rFonts w:ascii="黑体" w:eastAsia="黑体" w:hAnsi="黑体" w:hint="eastAsia"/>
          <w:bCs/>
          <w:sz w:val="44"/>
          <w:szCs w:val="44"/>
        </w:rPr>
        <w:t>会计处理规定</w:t>
      </w:r>
    </w:p>
    <w:p w:rsidR="00C4596C" w:rsidRDefault="00C4596C" w:rsidP="00C4596C">
      <w:pPr>
        <w:spacing w:line="440" w:lineRule="exact"/>
        <w:ind w:firstLineChars="200" w:firstLine="880"/>
        <w:jc w:val="center"/>
        <w:rPr>
          <w:rFonts w:ascii="黑体" w:eastAsia="黑体" w:hAnsi="黑体"/>
          <w:bCs/>
          <w:sz w:val="44"/>
          <w:szCs w:val="44"/>
        </w:rPr>
      </w:pPr>
    </w:p>
    <w:p w:rsidR="00C4596C" w:rsidRPr="00427DC9" w:rsidRDefault="00C4596C" w:rsidP="00C4596C">
      <w:pPr>
        <w:spacing w:line="360" w:lineRule="auto"/>
        <w:ind w:firstLineChars="200" w:firstLine="640"/>
        <w:rPr>
          <w:rFonts w:ascii="仿宋" w:eastAsia="仿宋" w:hAnsi="仿宋"/>
          <w:sz w:val="32"/>
          <w:szCs w:val="32"/>
        </w:rPr>
      </w:pPr>
    </w:p>
    <w:p w:rsidR="00C4596C" w:rsidRDefault="00C4596C" w:rsidP="00C4596C">
      <w:pPr>
        <w:spacing w:line="360" w:lineRule="auto"/>
        <w:ind w:firstLineChars="200" w:firstLine="643"/>
        <w:rPr>
          <w:rFonts w:ascii="宋体" w:hAnsi="宋体"/>
          <w:b/>
          <w:sz w:val="32"/>
          <w:szCs w:val="32"/>
        </w:rPr>
      </w:pPr>
      <w:r>
        <w:rPr>
          <w:rFonts w:ascii="宋体" w:hAnsi="宋体" w:hint="eastAsia"/>
          <w:b/>
          <w:sz w:val="32"/>
          <w:szCs w:val="32"/>
        </w:rPr>
        <w:t>一、关于国有独资或全资企业之间无偿划拨子公司的会计处理</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在“三去一降一补”工作中，有关企业集团出于深化国企改革或去产能、调结构等原因，按照国有资产监管部门</w:t>
      </w:r>
      <w:r w:rsidR="00C87A3B">
        <w:rPr>
          <w:rFonts w:ascii="仿宋" w:eastAsia="仿宋" w:hAnsi="仿宋" w:hint="eastAsia"/>
          <w:sz w:val="32"/>
          <w:szCs w:val="32"/>
        </w:rPr>
        <w:t>（以下简称国资监管部门）</w:t>
      </w:r>
      <w:r>
        <w:rPr>
          <w:rFonts w:ascii="仿宋" w:eastAsia="仿宋" w:hAnsi="仿宋" w:hint="eastAsia"/>
          <w:sz w:val="32"/>
          <w:szCs w:val="32"/>
        </w:rPr>
        <w:t>有关规定，对所属的子公司的股权进行集团之间的无偿划拨。本规定所称的国有独资或全资企业，包括国有独资公司、非公司制国有独资企业、国有全资企业、事业单位投资设立的一人有限责任公司及其再投资设立的一人有限责任公司。国有独资或全资企业之间按有关规定无偿划拨子公司，导致对被划拨企业的控制权从划出企业转移到划入企业的，应当进行以下会计处理：</w:t>
      </w:r>
    </w:p>
    <w:p w:rsidR="00C4596C" w:rsidRDefault="00C4596C" w:rsidP="00C4596C">
      <w:pPr>
        <w:spacing w:line="360" w:lineRule="auto"/>
        <w:ind w:firstLineChars="200" w:firstLine="643"/>
        <w:rPr>
          <w:rFonts w:ascii="楷体" w:eastAsia="楷体" w:hAnsi="楷体"/>
          <w:b/>
          <w:sz w:val="32"/>
          <w:szCs w:val="32"/>
        </w:rPr>
      </w:pPr>
      <w:r>
        <w:rPr>
          <w:rFonts w:ascii="楷体" w:eastAsia="楷体" w:hAnsi="楷体" w:hint="eastAsia"/>
          <w:b/>
          <w:sz w:val="32"/>
          <w:szCs w:val="32"/>
        </w:rPr>
        <w:t>（一）划入企业的会计处理。</w:t>
      </w:r>
    </w:p>
    <w:p w:rsidR="00C4596C" w:rsidRDefault="00C4596C" w:rsidP="00C4596C">
      <w:pPr>
        <w:spacing w:line="360" w:lineRule="auto"/>
        <w:ind w:firstLineChars="200" w:firstLine="643"/>
        <w:rPr>
          <w:rFonts w:ascii="仿宋" w:eastAsia="仿宋" w:hAnsi="仿宋"/>
          <w:sz w:val="32"/>
          <w:szCs w:val="32"/>
        </w:rPr>
      </w:pPr>
      <w:r>
        <w:rPr>
          <w:rFonts w:ascii="仿宋" w:eastAsia="仿宋" w:hAnsi="仿宋" w:hint="eastAsia"/>
          <w:b/>
          <w:sz w:val="32"/>
          <w:szCs w:val="32"/>
        </w:rPr>
        <w:t>1.个别财务报表。</w:t>
      </w:r>
      <w:r>
        <w:rPr>
          <w:rFonts w:ascii="仿宋" w:eastAsia="仿宋" w:hAnsi="仿宋" w:hint="eastAsia"/>
          <w:sz w:val="32"/>
          <w:szCs w:val="32"/>
        </w:rPr>
        <w:t>被划拨企业按照国有产权无偿划拨的有关规定开展审计</w:t>
      </w:r>
      <w:r w:rsidR="00DB06C8">
        <w:rPr>
          <w:rFonts w:ascii="仿宋" w:eastAsia="仿宋" w:hAnsi="仿宋" w:hint="eastAsia"/>
          <w:sz w:val="32"/>
          <w:szCs w:val="32"/>
        </w:rPr>
        <w:t>等</w:t>
      </w:r>
      <w:r>
        <w:rPr>
          <w:rFonts w:ascii="仿宋" w:eastAsia="仿宋" w:hAnsi="仿宋" w:hint="eastAsia"/>
          <w:sz w:val="32"/>
          <w:szCs w:val="32"/>
        </w:rPr>
        <w:t>，上报国资监管部门作为无偿划拨依据的，划入企业在取得被划拨企业的控制权之日，编制个别财务报表时，应</w:t>
      </w:r>
      <w:r w:rsidR="00142FDA">
        <w:rPr>
          <w:rFonts w:ascii="仿宋" w:eastAsia="仿宋" w:hAnsi="仿宋" w:hint="eastAsia"/>
          <w:sz w:val="32"/>
          <w:szCs w:val="32"/>
        </w:rPr>
        <w:t>当</w:t>
      </w:r>
      <w:r>
        <w:rPr>
          <w:rFonts w:ascii="仿宋" w:eastAsia="仿宋" w:hAnsi="仿宋" w:hint="eastAsia"/>
          <w:sz w:val="32"/>
          <w:szCs w:val="32"/>
        </w:rPr>
        <w:t>根据国资监管部门批复的有关金额，借记“长期股权投资”科目，贷记“资本公积（资本溢价）”科目（若</w:t>
      </w:r>
      <w:r>
        <w:rPr>
          <w:rFonts w:ascii="仿宋" w:eastAsia="仿宋" w:hAnsi="仿宋" w:hint="eastAsia"/>
          <w:sz w:val="32"/>
          <w:szCs w:val="32"/>
        </w:rPr>
        <w:lastRenderedPageBreak/>
        <w:t>批复明确作为资本金投入的，记入“实收资本”科目，下同）。</w:t>
      </w:r>
    </w:p>
    <w:p w:rsidR="00C4596C" w:rsidRDefault="00C4596C" w:rsidP="00C4596C">
      <w:pPr>
        <w:spacing w:line="360" w:lineRule="auto"/>
        <w:ind w:firstLineChars="200" w:firstLine="643"/>
        <w:rPr>
          <w:rFonts w:ascii="仿宋" w:eastAsia="仿宋" w:hAnsi="仿宋"/>
          <w:sz w:val="32"/>
          <w:szCs w:val="32"/>
        </w:rPr>
      </w:pPr>
      <w:r>
        <w:rPr>
          <w:rFonts w:ascii="仿宋" w:eastAsia="仿宋" w:hAnsi="仿宋" w:hint="eastAsia"/>
          <w:b/>
          <w:sz w:val="32"/>
          <w:szCs w:val="32"/>
        </w:rPr>
        <w:t>2.合并财务报表。</w:t>
      </w:r>
      <w:r>
        <w:rPr>
          <w:rFonts w:ascii="仿宋" w:eastAsia="仿宋" w:hAnsi="仿宋" w:hint="eastAsia"/>
          <w:sz w:val="32"/>
          <w:szCs w:val="32"/>
        </w:rPr>
        <w:t>划入企业在取得被划拨企业的控制权后编制合并财务报表，一般包括资产负债表、利润表、现金流量表和所有者权益变动表等：</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DB301D">
        <w:rPr>
          <w:rFonts w:ascii="仿宋" w:eastAsia="仿宋" w:hAnsi="仿宋" w:hint="eastAsia"/>
          <w:sz w:val="32"/>
          <w:szCs w:val="32"/>
        </w:rPr>
        <w:t>）合并资产负债表。划入企业应</w:t>
      </w:r>
      <w:r w:rsidR="00142FDA">
        <w:rPr>
          <w:rFonts w:ascii="仿宋" w:eastAsia="仿宋" w:hAnsi="仿宋" w:hint="eastAsia"/>
          <w:sz w:val="32"/>
          <w:szCs w:val="32"/>
        </w:rPr>
        <w:t>当</w:t>
      </w:r>
      <w:r w:rsidR="00DB301D">
        <w:rPr>
          <w:rFonts w:ascii="仿宋" w:eastAsia="仿宋" w:hAnsi="仿宋" w:hint="eastAsia"/>
          <w:sz w:val="32"/>
          <w:szCs w:val="32"/>
        </w:rPr>
        <w:t>以</w:t>
      </w:r>
      <w:r>
        <w:rPr>
          <w:rFonts w:ascii="仿宋" w:eastAsia="仿宋" w:hAnsi="仿宋" w:hint="eastAsia"/>
          <w:sz w:val="32"/>
          <w:szCs w:val="32"/>
        </w:rPr>
        <w:t>被划拨企业经审计等确定并经国资监管部门批复的资产和负债的账面价值及其在被划拨企业控制权转移之前发生的变动为基础，对被划拨企业的资产负债表进行调整，调整后应享有的被划拨企业资产和负债之间的差额，计入资本公积（资本溢价）。</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（2）合并利润表。划入企业编制取得被划拨企业的控制权当期的合并利润表时，应包含被划拨企业自国资监管部门批复的基准日起至控制权转移当期期末发生的净利润。</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（3）合并现金流量表。划入企业编制取得被划拨企业的控制权当期的合并现金流量表时，应包含被划拨企业自国资监管部门批复的基准日起至控制权转移当期期末产生的现金流量。</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4）合并所有者权益变动表。划入企业编制当期的合并所有者权益变动表时，应包含被划拨企业自国资监管部门批复的基准日起至控制权转移当期期末的所有者权益变动情况。合并所有者权益变动表可以根据合并资产负债表和合并利润表编制。</w:t>
      </w:r>
    </w:p>
    <w:p w:rsidR="00C4596C" w:rsidRDefault="00C4596C" w:rsidP="00C4596C">
      <w:pPr>
        <w:spacing w:line="360" w:lineRule="auto"/>
        <w:ind w:firstLineChars="200" w:firstLine="643"/>
        <w:rPr>
          <w:rFonts w:ascii="楷体" w:eastAsia="楷体" w:hAnsi="楷体"/>
          <w:b/>
          <w:sz w:val="32"/>
          <w:szCs w:val="32"/>
        </w:rPr>
      </w:pPr>
      <w:r>
        <w:rPr>
          <w:rFonts w:ascii="楷体" w:eastAsia="楷体" w:hAnsi="楷体" w:hint="eastAsia"/>
          <w:b/>
          <w:sz w:val="32"/>
          <w:szCs w:val="32"/>
        </w:rPr>
        <w:t>（二）划出企业的会计处理。</w:t>
      </w:r>
    </w:p>
    <w:p w:rsidR="00C4596C" w:rsidRDefault="00C4596C" w:rsidP="00C4596C">
      <w:pPr>
        <w:spacing w:line="360" w:lineRule="auto"/>
        <w:ind w:firstLineChars="200" w:firstLine="643"/>
        <w:rPr>
          <w:rFonts w:ascii="仿宋" w:eastAsia="仿宋" w:hAnsi="仿宋"/>
          <w:sz w:val="32"/>
          <w:szCs w:val="32"/>
        </w:rPr>
      </w:pPr>
      <w:r>
        <w:rPr>
          <w:rFonts w:ascii="仿宋" w:eastAsia="仿宋" w:hAnsi="仿宋" w:hint="eastAsia"/>
          <w:b/>
          <w:sz w:val="32"/>
          <w:szCs w:val="32"/>
        </w:rPr>
        <w:lastRenderedPageBreak/>
        <w:t>1.个别财务报表。</w:t>
      </w:r>
      <w:r>
        <w:rPr>
          <w:rFonts w:ascii="仿宋" w:eastAsia="仿宋" w:hAnsi="仿宋" w:hint="eastAsia"/>
          <w:sz w:val="32"/>
          <w:szCs w:val="32"/>
        </w:rPr>
        <w:t>划出企业在丧失对被划拨企业的控制权之日，编制个别财务报表时，应</w:t>
      </w:r>
      <w:r w:rsidR="00DB301D">
        <w:rPr>
          <w:rFonts w:ascii="仿宋" w:eastAsia="仿宋" w:hAnsi="仿宋" w:hint="eastAsia"/>
          <w:sz w:val="32"/>
          <w:szCs w:val="32"/>
        </w:rPr>
        <w:t>当</w:t>
      </w:r>
      <w:r>
        <w:rPr>
          <w:rFonts w:ascii="仿宋" w:eastAsia="仿宋" w:hAnsi="仿宋" w:hint="eastAsia"/>
          <w:sz w:val="32"/>
          <w:szCs w:val="32"/>
        </w:rPr>
        <w:t>按</w:t>
      </w:r>
      <w:r w:rsidR="00DB301D">
        <w:rPr>
          <w:rFonts w:ascii="仿宋" w:eastAsia="仿宋" w:hAnsi="仿宋" w:hint="eastAsia"/>
          <w:sz w:val="32"/>
          <w:szCs w:val="32"/>
        </w:rPr>
        <w:t>照</w:t>
      </w:r>
      <w:r>
        <w:rPr>
          <w:rFonts w:ascii="仿宋" w:eastAsia="仿宋" w:hAnsi="仿宋" w:hint="eastAsia"/>
          <w:sz w:val="32"/>
          <w:szCs w:val="32"/>
        </w:rPr>
        <w:t>对被划拨企业的长期股权投资的账面价值，借记“资本公积（资本溢价）” 科目（若批复明确冲减资本金的，应借记“实收资本”科目，下同），贷记“长期股权投资（被划拨企业）”科目；资本公积（资本溢价）不足冲减的，依次冲减盈余公积和未分配利润。</w:t>
      </w:r>
    </w:p>
    <w:p w:rsidR="00C4596C" w:rsidRDefault="00C4596C" w:rsidP="00C4596C">
      <w:pPr>
        <w:spacing w:line="360" w:lineRule="auto"/>
        <w:ind w:firstLineChars="200" w:firstLine="643"/>
        <w:rPr>
          <w:rFonts w:ascii="仿宋" w:eastAsia="仿宋" w:hAnsi="仿宋"/>
          <w:sz w:val="32"/>
          <w:szCs w:val="32"/>
        </w:rPr>
      </w:pPr>
      <w:r>
        <w:rPr>
          <w:rFonts w:ascii="仿宋" w:eastAsia="仿宋" w:hAnsi="仿宋" w:hint="eastAsia"/>
          <w:b/>
          <w:sz w:val="32"/>
          <w:szCs w:val="32"/>
        </w:rPr>
        <w:t>2.合并财务报表。</w:t>
      </w:r>
      <w:r>
        <w:rPr>
          <w:rFonts w:ascii="仿宋" w:eastAsia="仿宋" w:hAnsi="仿宋" w:hint="eastAsia"/>
          <w:sz w:val="32"/>
          <w:szCs w:val="32"/>
        </w:rPr>
        <w:t>划出企业在丧失对被划拨企业的控制权之日，编制合并财务报表时，</w:t>
      </w:r>
      <w:r w:rsidR="00DB301D">
        <w:rPr>
          <w:rFonts w:ascii="仿宋" w:eastAsia="仿宋" w:hAnsi="仿宋" w:hint="eastAsia"/>
          <w:sz w:val="32"/>
          <w:szCs w:val="32"/>
        </w:rPr>
        <w:t>不</w:t>
      </w:r>
      <w:r>
        <w:rPr>
          <w:rFonts w:ascii="仿宋" w:eastAsia="仿宋" w:hAnsi="仿宋" w:hint="eastAsia"/>
          <w:sz w:val="32"/>
          <w:szCs w:val="32"/>
        </w:rPr>
        <w:t>应再将被划拨企业纳入合并财务报表范围，终止确认原在合并财务报表中反映的被划拨企业相关资产、负债、少数股东权益以及其他权益项目，相关差额冲减资本公积（资本溢价），资本公积（资本溢价）不足冲减的，依次冲减盈余公积和未分配利润。同时，划出企业与被划拨企业之间在控制权转移之前发生的未实现内部损益，应转入资本公积（资本</w:t>
      </w:r>
      <w:r w:rsidR="00AF4B99">
        <w:rPr>
          <w:rFonts w:ascii="仿宋" w:eastAsia="仿宋" w:hAnsi="仿宋" w:hint="eastAsia"/>
          <w:sz w:val="32"/>
          <w:szCs w:val="32"/>
        </w:rPr>
        <w:t>溢价</w:t>
      </w:r>
      <w:r>
        <w:rPr>
          <w:rFonts w:ascii="仿宋" w:eastAsia="仿宋" w:hAnsi="仿宋" w:hint="eastAsia"/>
          <w:sz w:val="32"/>
          <w:szCs w:val="32"/>
        </w:rPr>
        <w:t>），资本公积（资本溢价）不足冲减的，依次冲减盈余公积和未分配利润。</w:t>
      </w:r>
    </w:p>
    <w:p w:rsidR="00C4596C" w:rsidRDefault="00C4596C" w:rsidP="00C4596C">
      <w:pPr>
        <w:spacing w:line="360" w:lineRule="auto"/>
        <w:ind w:firstLine="645"/>
        <w:rPr>
          <w:rFonts w:ascii="宋体" w:hAnsi="宋体"/>
          <w:b/>
          <w:sz w:val="32"/>
          <w:szCs w:val="32"/>
        </w:rPr>
      </w:pPr>
      <w:r>
        <w:rPr>
          <w:rFonts w:ascii="宋体" w:hAnsi="宋体" w:hint="eastAsia"/>
          <w:b/>
          <w:sz w:val="32"/>
          <w:szCs w:val="32"/>
        </w:rPr>
        <w:t>二、关于即将</w:t>
      </w:r>
      <w:r w:rsidR="008A19D8">
        <w:rPr>
          <w:rFonts w:ascii="宋体" w:hAnsi="宋体" w:hint="eastAsia"/>
          <w:b/>
          <w:sz w:val="32"/>
          <w:szCs w:val="32"/>
        </w:rPr>
        <w:t>关闭出清</w:t>
      </w:r>
      <w:r>
        <w:rPr>
          <w:rFonts w:ascii="宋体" w:hAnsi="宋体" w:hint="eastAsia"/>
          <w:b/>
          <w:sz w:val="32"/>
          <w:szCs w:val="32"/>
        </w:rPr>
        <w:t>的“僵尸企业”的会计处理</w:t>
      </w:r>
    </w:p>
    <w:p w:rsidR="00C4596C" w:rsidRDefault="00C4596C" w:rsidP="00C4596C">
      <w:pPr>
        <w:spacing w:line="360" w:lineRule="auto"/>
        <w:ind w:firstLineChars="200" w:firstLine="643"/>
        <w:rPr>
          <w:rFonts w:ascii="楷体" w:eastAsia="楷体" w:hAnsi="楷体"/>
          <w:b/>
          <w:sz w:val="32"/>
          <w:szCs w:val="32"/>
        </w:rPr>
      </w:pPr>
      <w:r>
        <w:rPr>
          <w:rFonts w:ascii="楷体" w:eastAsia="楷体" w:hAnsi="楷体" w:hint="eastAsia"/>
          <w:b/>
          <w:sz w:val="32"/>
          <w:szCs w:val="32"/>
        </w:rPr>
        <w:t>（一）即将</w:t>
      </w:r>
      <w:r w:rsidR="008A19D8">
        <w:rPr>
          <w:rFonts w:ascii="楷体" w:eastAsia="楷体" w:hAnsi="楷体" w:hint="eastAsia"/>
          <w:b/>
          <w:sz w:val="32"/>
          <w:szCs w:val="32"/>
        </w:rPr>
        <w:t>关闭出清</w:t>
      </w:r>
      <w:r>
        <w:rPr>
          <w:rFonts w:ascii="楷体" w:eastAsia="楷体" w:hAnsi="楷体" w:hint="eastAsia"/>
          <w:b/>
          <w:sz w:val="32"/>
          <w:szCs w:val="32"/>
        </w:rPr>
        <w:t>的“僵尸企业”自身的会计处理。</w:t>
      </w:r>
    </w:p>
    <w:p w:rsidR="00C4596C" w:rsidRDefault="0055382A"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根据</w:t>
      </w:r>
      <w:r w:rsidRPr="00FD3601">
        <w:rPr>
          <w:rFonts w:ascii="仿宋" w:eastAsia="仿宋" w:hAnsi="仿宋" w:hint="eastAsia"/>
          <w:sz w:val="32"/>
          <w:szCs w:val="32"/>
        </w:rPr>
        <w:t>《国务院关于钢铁行业化解过剩产能实现脱困发展的意见》（国发﹝2016﹞6号）和《国务院关于煤炭行业化解过剩产能实现脱困发展的意见》（国发﹝2016﹞7号）</w:t>
      </w:r>
      <w:r>
        <w:rPr>
          <w:rFonts w:ascii="仿宋" w:eastAsia="仿宋" w:hAnsi="仿宋" w:hint="eastAsia"/>
          <w:sz w:val="32"/>
          <w:szCs w:val="32"/>
        </w:rPr>
        <w:t>等文件规定</w:t>
      </w:r>
      <w:r w:rsidR="00C4596C">
        <w:rPr>
          <w:rFonts w:ascii="仿宋" w:eastAsia="仿宋" w:hAnsi="仿宋" w:hint="eastAsia"/>
          <w:sz w:val="32"/>
          <w:szCs w:val="32"/>
        </w:rPr>
        <w:t>，地方可以综合运用兼并重组、债务重组和破产清算等</w:t>
      </w:r>
      <w:r w:rsidR="00C4596C">
        <w:rPr>
          <w:rFonts w:ascii="仿宋" w:eastAsia="仿宋" w:hAnsi="仿宋" w:hint="eastAsia"/>
          <w:sz w:val="32"/>
          <w:szCs w:val="32"/>
        </w:rPr>
        <w:lastRenderedPageBreak/>
        <w:t>方式，加快处置“僵尸企业”，实现市场出清。</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企业按照政府推动化解过剩产能的有关规定界定为“僵尸企业”且列入即将</w:t>
      </w:r>
      <w:r w:rsidR="008A19D8">
        <w:rPr>
          <w:rFonts w:ascii="仿宋" w:eastAsia="仿宋" w:hAnsi="仿宋" w:hint="eastAsia"/>
          <w:sz w:val="32"/>
          <w:szCs w:val="32"/>
        </w:rPr>
        <w:t>关闭出清</w:t>
      </w:r>
      <w:r>
        <w:rPr>
          <w:rFonts w:ascii="仿宋" w:eastAsia="仿宋" w:hAnsi="仿宋" w:hint="eastAsia"/>
          <w:sz w:val="32"/>
          <w:szCs w:val="32"/>
        </w:rPr>
        <w:t>的“僵尸企业”名单的（以下简称此类“僵尸企业”），应自被列为此类“僵尸企业”的当期期初开始，对资产改按清算价值计量、负债改按预计的结算金额计量，有关差额计入营业外支出（收入）。此类“僵尸企业”</w:t>
      </w:r>
      <w:r w:rsidR="00142FDA">
        <w:rPr>
          <w:rFonts w:ascii="仿宋" w:eastAsia="仿宋" w:hAnsi="仿宋" w:hint="eastAsia"/>
          <w:sz w:val="32"/>
          <w:szCs w:val="32"/>
        </w:rPr>
        <w:t>不</w:t>
      </w:r>
      <w:r>
        <w:rPr>
          <w:rFonts w:ascii="仿宋" w:eastAsia="仿宋" w:hAnsi="仿宋" w:hint="eastAsia"/>
          <w:sz w:val="32"/>
          <w:szCs w:val="32"/>
        </w:rPr>
        <w:t>应再对固定资产和无形资产计提折旧或摊销。</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此类“僵尸企业”应在附注中披露财务报表的编制基础及其原因、财务报表上有关资产和负债的状况、清理的进展情况、是否会因资产变现以及负债清偿等原因需预计大额的损失或额外负债等重要信息。</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此类“僵尸企业”进入破产清算程序且被法院指定的破产管理人接管的，应改按有关破产清算的会计</w:t>
      </w:r>
      <w:r w:rsidR="00C87A3B">
        <w:rPr>
          <w:rFonts w:ascii="仿宋" w:eastAsia="仿宋" w:hAnsi="仿宋" w:hint="eastAsia"/>
          <w:sz w:val="32"/>
          <w:szCs w:val="32"/>
        </w:rPr>
        <w:t>处理</w:t>
      </w:r>
      <w:r>
        <w:rPr>
          <w:rFonts w:ascii="仿宋" w:eastAsia="仿宋" w:hAnsi="仿宋" w:hint="eastAsia"/>
          <w:sz w:val="32"/>
          <w:szCs w:val="32"/>
        </w:rPr>
        <w:t>规定进行会计处理。</w:t>
      </w:r>
    </w:p>
    <w:p w:rsidR="00C4596C" w:rsidRDefault="00C4596C" w:rsidP="00C4596C">
      <w:pPr>
        <w:spacing w:line="360" w:lineRule="auto"/>
        <w:ind w:firstLineChars="200" w:firstLine="643"/>
        <w:rPr>
          <w:rFonts w:ascii="仿宋" w:eastAsia="仿宋" w:hAnsi="仿宋"/>
          <w:sz w:val="32"/>
          <w:szCs w:val="32"/>
        </w:rPr>
      </w:pPr>
      <w:r>
        <w:rPr>
          <w:rFonts w:ascii="楷体" w:eastAsia="楷体" w:hAnsi="楷体" w:hint="eastAsia"/>
          <w:b/>
          <w:sz w:val="32"/>
          <w:szCs w:val="32"/>
        </w:rPr>
        <w:t>（二）即将</w:t>
      </w:r>
      <w:r w:rsidR="008A19D8">
        <w:rPr>
          <w:rFonts w:ascii="楷体" w:eastAsia="楷体" w:hAnsi="楷体" w:hint="eastAsia"/>
          <w:b/>
          <w:sz w:val="32"/>
          <w:szCs w:val="32"/>
        </w:rPr>
        <w:t>关闭出清</w:t>
      </w:r>
      <w:r>
        <w:rPr>
          <w:rFonts w:ascii="楷体" w:eastAsia="楷体" w:hAnsi="楷体" w:hint="eastAsia"/>
          <w:b/>
          <w:sz w:val="32"/>
          <w:szCs w:val="32"/>
        </w:rPr>
        <w:t>的“僵尸企业”的母公司的会计处理。</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此类“僵尸企业”的母公司（以下简称母公司）应当区分个别财务报表和合并财务报表进行会计处理：</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1.母公司在编制个别财务报表时，对该子公司长期股权投资，应当按</w:t>
      </w:r>
      <w:r w:rsidR="00142FDA">
        <w:rPr>
          <w:rFonts w:ascii="仿宋" w:eastAsia="仿宋" w:hAnsi="仿宋" w:hint="eastAsia"/>
          <w:sz w:val="32"/>
          <w:szCs w:val="32"/>
        </w:rPr>
        <w:t>照</w:t>
      </w:r>
      <w:r>
        <w:rPr>
          <w:rFonts w:ascii="仿宋" w:eastAsia="仿宋" w:hAnsi="仿宋" w:hint="eastAsia"/>
          <w:sz w:val="32"/>
          <w:szCs w:val="32"/>
        </w:rPr>
        <w:t>资产负债表日的可收回金额与账面价值孰低进行计量，前者低于后者的，其差额计入资产减值损失。</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2.母公司在编制合并财务报表时，应</w:t>
      </w:r>
      <w:r w:rsidR="00142FDA">
        <w:rPr>
          <w:rFonts w:ascii="仿宋" w:eastAsia="仿宋" w:hAnsi="仿宋" w:hint="eastAsia"/>
          <w:sz w:val="32"/>
          <w:szCs w:val="32"/>
        </w:rPr>
        <w:t>当</w:t>
      </w:r>
      <w:r>
        <w:rPr>
          <w:rFonts w:ascii="仿宋" w:eastAsia="仿宋" w:hAnsi="仿宋" w:hint="eastAsia"/>
          <w:sz w:val="32"/>
          <w:szCs w:val="32"/>
        </w:rPr>
        <w:t>以该子公司按本</w:t>
      </w:r>
      <w:r>
        <w:rPr>
          <w:rFonts w:ascii="仿宋" w:eastAsia="仿宋" w:hAnsi="仿宋" w:hint="eastAsia"/>
          <w:sz w:val="32"/>
          <w:szCs w:val="32"/>
        </w:rPr>
        <w:lastRenderedPageBreak/>
        <w:t>条规定编制的财务报表为基础，按与该子公司相同的基础对该子公司的资产、负债进行计量，计量金额与原在合并财务报表中反映的相关资产、负债以及商誉的金额之间的差额，应计入当期损益。母公司因其所属子公司进入破产清算程序且被法院指定的破产管理人接管等，丧失了对该子公司控制权的，不应再将其纳入合并财务报表范围。</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3.母公司应当在合并财务报表附注中披露子公司财务报表的编制基础及其原因、母公司计量基础的有关变化对其当期财务状况、经营成果、现金流量等方面的影响、子公司清理的进展情况、是否会因资产变现以及负债清偿等原因需预计大额的损失或额外负债等重要信息。</w:t>
      </w:r>
    </w:p>
    <w:p w:rsidR="00C4596C" w:rsidRDefault="00C4596C" w:rsidP="00C4596C">
      <w:pPr>
        <w:spacing w:line="360" w:lineRule="auto"/>
        <w:ind w:firstLineChars="200" w:firstLine="643"/>
        <w:rPr>
          <w:rFonts w:ascii="楷体" w:eastAsia="楷体" w:hAnsi="楷体"/>
          <w:b/>
          <w:sz w:val="32"/>
          <w:szCs w:val="32"/>
        </w:rPr>
      </w:pPr>
      <w:r>
        <w:rPr>
          <w:rFonts w:ascii="楷体" w:eastAsia="楷体" w:hAnsi="楷体" w:hint="eastAsia"/>
          <w:b/>
          <w:sz w:val="32"/>
          <w:szCs w:val="32"/>
        </w:rPr>
        <w:t>（三）即将</w:t>
      </w:r>
      <w:r w:rsidR="008A19D8">
        <w:rPr>
          <w:rFonts w:ascii="楷体" w:eastAsia="楷体" w:hAnsi="楷体" w:hint="eastAsia"/>
          <w:b/>
          <w:sz w:val="32"/>
          <w:szCs w:val="32"/>
        </w:rPr>
        <w:t>关闭出清</w:t>
      </w:r>
      <w:r>
        <w:rPr>
          <w:rFonts w:ascii="楷体" w:eastAsia="楷体" w:hAnsi="楷体" w:hint="eastAsia"/>
          <w:b/>
          <w:sz w:val="32"/>
          <w:szCs w:val="32"/>
        </w:rPr>
        <w:t>的“僵尸企业”的母公司以外的其他权益性投资方的会计处理。</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本规定所</w:t>
      </w:r>
      <w:r w:rsidR="00C87A3B">
        <w:rPr>
          <w:rFonts w:ascii="仿宋" w:eastAsia="仿宋" w:hAnsi="仿宋" w:hint="eastAsia"/>
          <w:sz w:val="32"/>
          <w:szCs w:val="32"/>
        </w:rPr>
        <w:t>称</w:t>
      </w:r>
      <w:r>
        <w:rPr>
          <w:rFonts w:ascii="仿宋" w:eastAsia="仿宋" w:hAnsi="仿宋" w:hint="eastAsia"/>
          <w:sz w:val="32"/>
          <w:szCs w:val="32"/>
        </w:rPr>
        <w:t>的其他权益性投资方，是指对此类“僵尸企业”具有共同控制或能够施加重大影响的投资企业。这些投资企业对该“僵尸企业”的长期股权投资，应当按</w:t>
      </w:r>
      <w:r w:rsidR="00142FDA">
        <w:rPr>
          <w:rFonts w:ascii="仿宋" w:eastAsia="仿宋" w:hAnsi="仿宋" w:hint="eastAsia"/>
          <w:sz w:val="32"/>
          <w:szCs w:val="32"/>
        </w:rPr>
        <w:t>照</w:t>
      </w:r>
      <w:r>
        <w:rPr>
          <w:rFonts w:ascii="仿宋" w:eastAsia="仿宋" w:hAnsi="仿宋" w:hint="eastAsia"/>
          <w:sz w:val="32"/>
          <w:szCs w:val="32"/>
        </w:rPr>
        <w:t>可收回金额与账面价值孰低进行计量，前者低于后者的，其差额计入资产减值损失。</w:t>
      </w:r>
    </w:p>
    <w:p w:rsidR="00C4596C" w:rsidRDefault="00C4596C" w:rsidP="00C4596C">
      <w:pPr>
        <w:spacing w:line="360" w:lineRule="auto"/>
        <w:rPr>
          <w:rFonts w:ascii="宋体" w:hAnsi="宋体"/>
          <w:b/>
          <w:sz w:val="32"/>
          <w:szCs w:val="32"/>
        </w:rPr>
      </w:pPr>
      <w:r>
        <w:rPr>
          <w:rFonts w:ascii="宋体" w:hAnsi="宋体" w:hint="eastAsia"/>
          <w:b/>
          <w:sz w:val="32"/>
          <w:szCs w:val="32"/>
        </w:rPr>
        <w:t xml:space="preserve">    三、关于中央企业对工业企业结构调整</w:t>
      </w:r>
      <w:proofErr w:type="gramStart"/>
      <w:r>
        <w:rPr>
          <w:rFonts w:ascii="宋体" w:hAnsi="宋体" w:hint="eastAsia"/>
          <w:b/>
          <w:sz w:val="32"/>
          <w:szCs w:val="32"/>
        </w:rPr>
        <w:t>专项奖补资金</w:t>
      </w:r>
      <w:proofErr w:type="gramEnd"/>
      <w:r>
        <w:rPr>
          <w:rFonts w:ascii="宋体" w:hAnsi="宋体" w:hint="eastAsia"/>
          <w:b/>
          <w:sz w:val="32"/>
          <w:szCs w:val="32"/>
        </w:rPr>
        <w:t>的会计处理</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根据《财政部关于印发〈工业企业结构调整专项奖补资金管理办法〉的通知》（财建﹝2016﹞253号，以下简称253</w:t>
      </w:r>
      <w:r>
        <w:rPr>
          <w:rFonts w:ascii="仿宋" w:eastAsia="仿宋" w:hAnsi="仿宋" w:hint="eastAsia"/>
          <w:sz w:val="32"/>
          <w:szCs w:val="32"/>
        </w:rPr>
        <w:lastRenderedPageBreak/>
        <w:t>号文），中央财政将安排工业企业结构调整专项奖补资金（以下简称专项奖补资金），用于支持地方政府和中央企业推动钢铁、煤炭等行业化解过剩产能。</w:t>
      </w:r>
    </w:p>
    <w:p w:rsidR="00C4596C" w:rsidRDefault="00C4596C" w:rsidP="00C4596C">
      <w:pPr>
        <w:spacing w:line="360" w:lineRule="auto"/>
        <w:ind w:firstLineChars="200" w:firstLine="640"/>
        <w:rPr>
          <w:rFonts w:ascii="仿宋" w:eastAsia="仿宋" w:hAnsi="仿宋"/>
          <w:sz w:val="32"/>
          <w:szCs w:val="32"/>
        </w:rPr>
      </w:pPr>
      <w:r>
        <w:rPr>
          <w:rFonts w:ascii="仿宋" w:eastAsia="仿宋" w:hAnsi="仿宋" w:hint="eastAsia"/>
          <w:sz w:val="32"/>
          <w:szCs w:val="32"/>
        </w:rPr>
        <w:t>中央企业在收到预拨的</w:t>
      </w:r>
      <w:proofErr w:type="gramStart"/>
      <w:r>
        <w:rPr>
          <w:rFonts w:ascii="仿宋" w:eastAsia="仿宋" w:hAnsi="仿宋" w:hint="eastAsia"/>
          <w:sz w:val="32"/>
          <w:szCs w:val="32"/>
        </w:rPr>
        <w:t>专项奖补资金</w:t>
      </w:r>
      <w:proofErr w:type="gramEnd"/>
      <w:r>
        <w:rPr>
          <w:rFonts w:ascii="仿宋" w:eastAsia="仿宋" w:hAnsi="仿宋" w:hint="eastAsia"/>
          <w:sz w:val="32"/>
          <w:szCs w:val="32"/>
        </w:rPr>
        <w:t>时，应</w:t>
      </w:r>
      <w:r w:rsidR="00142FDA">
        <w:rPr>
          <w:rFonts w:ascii="仿宋" w:eastAsia="仿宋" w:hAnsi="仿宋" w:hint="eastAsia"/>
          <w:sz w:val="32"/>
          <w:szCs w:val="32"/>
        </w:rPr>
        <w:t>当</w:t>
      </w:r>
      <w:proofErr w:type="gramStart"/>
      <w:r>
        <w:rPr>
          <w:rFonts w:ascii="仿宋" w:eastAsia="仿宋" w:hAnsi="仿宋" w:hint="eastAsia"/>
          <w:sz w:val="32"/>
          <w:szCs w:val="32"/>
        </w:rPr>
        <w:t>暂通过</w:t>
      </w:r>
      <w:proofErr w:type="gramEnd"/>
      <w:r>
        <w:rPr>
          <w:rFonts w:ascii="仿宋" w:eastAsia="仿宋" w:hAnsi="仿宋" w:hint="eastAsia"/>
          <w:sz w:val="32"/>
          <w:szCs w:val="32"/>
        </w:rPr>
        <w:t>“专项应付款”科目核算，借记“银行存款”等科目，贷记“专项应付款”科目。中央企业按要求开展化解产能相关工作后，按照253号文规定的计算标准等，能够合理可靠地确定因完成任务所取得的</w:t>
      </w:r>
      <w:proofErr w:type="gramStart"/>
      <w:r>
        <w:rPr>
          <w:rFonts w:ascii="仿宋" w:eastAsia="仿宋" w:hAnsi="仿宋" w:hint="eastAsia"/>
          <w:sz w:val="32"/>
          <w:szCs w:val="32"/>
        </w:rPr>
        <w:t>专项奖补资金</w:t>
      </w:r>
      <w:proofErr w:type="gramEnd"/>
      <w:r>
        <w:rPr>
          <w:rFonts w:ascii="仿宋" w:eastAsia="仿宋" w:hAnsi="仿宋" w:hint="eastAsia"/>
          <w:sz w:val="32"/>
          <w:szCs w:val="32"/>
        </w:rPr>
        <w:t>金额的，借记“专项应付款”科目，贷</w:t>
      </w:r>
      <w:proofErr w:type="gramStart"/>
      <w:r>
        <w:rPr>
          <w:rFonts w:ascii="仿宋" w:eastAsia="仿宋" w:hAnsi="仿宋" w:hint="eastAsia"/>
          <w:sz w:val="32"/>
          <w:szCs w:val="32"/>
        </w:rPr>
        <w:t>记有关</w:t>
      </w:r>
      <w:proofErr w:type="gramEnd"/>
      <w:r>
        <w:rPr>
          <w:rFonts w:ascii="仿宋" w:eastAsia="仿宋" w:hAnsi="仿宋" w:hint="eastAsia"/>
          <w:sz w:val="32"/>
          <w:szCs w:val="32"/>
        </w:rPr>
        <w:t>损益科目；不能合理可靠地确定因完成任务所取得的</w:t>
      </w:r>
      <w:proofErr w:type="gramStart"/>
      <w:r>
        <w:rPr>
          <w:rFonts w:ascii="仿宋" w:eastAsia="仿宋" w:hAnsi="仿宋" w:hint="eastAsia"/>
          <w:sz w:val="32"/>
          <w:szCs w:val="32"/>
        </w:rPr>
        <w:t>专项奖补资金</w:t>
      </w:r>
      <w:proofErr w:type="gramEnd"/>
      <w:r>
        <w:rPr>
          <w:rFonts w:ascii="仿宋" w:eastAsia="仿宋" w:hAnsi="仿宋" w:hint="eastAsia"/>
          <w:sz w:val="32"/>
          <w:szCs w:val="32"/>
        </w:rPr>
        <w:t>金额的，应</w:t>
      </w:r>
      <w:r w:rsidR="00142FDA">
        <w:rPr>
          <w:rFonts w:ascii="仿宋" w:eastAsia="仿宋" w:hAnsi="仿宋" w:hint="eastAsia"/>
          <w:sz w:val="32"/>
          <w:szCs w:val="32"/>
        </w:rPr>
        <w:t>当</w:t>
      </w:r>
      <w:r>
        <w:rPr>
          <w:rFonts w:ascii="仿宋" w:eastAsia="仿宋" w:hAnsi="仿宋" w:hint="eastAsia"/>
          <w:sz w:val="32"/>
          <w:szCs w:val="32"/>
        </w:rPr>
        <w:t>经财政部核查清算后，按照清算的有关金额，借记“专项应付款”科目，贷</w:t>
      </w:r>
      <w:proofErr w:type="gramStart"/>
      <w:r>
        <w:rPr>
          <w:rFonts w:ascii="仿宋" w:eastAsia="仿宋" w:hAnsi="仿宋" w:hint="eastAsia"/>
          <w:sz w:val="32"/>
          <w:szCs w:val="32"/>
        </w:rPr>
        <w:t>记有关</w:t>
      </w:r>
      <w:proofErr w:type="gramEnd"/>
      <w:r>
        <w:rPr>
          <w:rFonts w:ascii="仿宋" w:eastAsia="仿宋" w:hAnsi="仿宋" w:hint="eastAsia"/>
          <w:sz w:val="32"/>
          <w:szCs w:val="32"/>
        </w:rPr>
        <w:t>损益科目；预拨的</w:t>
      </w:r>
      <w:proofErr w:type="gramStart"/>
      <w:r>
        <w:rPr>
          <w:rFonts w:ascii="仿宋" w:eastAsia="仿宋" w:hAnsi="仿宋" w:hint="eastAsia"/>
          <w:sz w:val="32"/>
          <w:szCs w:val="32"/>
        </w:rPr>
        <w:t>专项奖补资金</w:t>
      </w:r>
      <w:proofErr w:type="gramEnd"/>
      <w:r>
        <w:rPr>
          <w:rFonts w:ascii="仿宋" w:eastAsia="仿宋" w:hAnsi="仿宋" w:hint="eastAsia"/>
          <w:sz w:val="32"/>
          <w:szCs w:val="32"/>
        </w:rPr>
        <w:t>小于企业估计应享有的金额的，不足部分的差额借记“其他应收款”；因未能完成有关任务而按规定向财政部缴回资金的，按缴回资金金额，借记“专项应付款”科目，贷记“银行存款”等科目。</w:t>
      </w:r>
    </w:p>
    <w:p w:rsidR="00C4596C" w:rsidRDefault="00C4596C" w:rsidP="00C4596C">
      <w:pPr>
        <w:spacing w:line="360" w:lineRule="auto"/>
        <w:rPr>
          <w:rFonts w:ascii="仿宋" w:eastAsia="仿宋" w:hAnsi="仿宋"/>
          <w:sz w:val="32"/>
          <w:szCs w:val="32"/>
        </w:rPr>
      </w:pPr>
      <w:r>
        <w:rPr>
          <w:rFonts w:ascii="仿宋" w:eastAsia="仿宋" w:hAnsi="仿宋" w:hint="eastAsia"/>
          <w:sz w:val="32"/>
          <w:szCs w:val="32"/>
        </w:rPr>
        <w:t xml:space="preserve">    </w:t>
      </w:r>
      <w:r>
        <w:rPr>
          <w:rFonts w:ascii="宋体" w:hAnsi="宋体" w:hint="eastAsia"/>
          <w:b/>
          <w:sz w:val="32"/>
          <w:szCs w:val="32"/>
        </w:rPr>
        <w:t>四、本规定自发布之日起施行，不要求追溯调整。</w:t>
      </w:r>
    </w:p>
    <w:p w:rsidR="00853AC2" w:rsidRPr="00C4596C" w:rsidRDefault="00853AC2"/>
    <w:sectPr w:rsidR="00853AC2" w:rsidRPr="00C4596C" w:rsidSect="00853A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4B" w:rsidRDefault="008C384B" w:rsidP="007541D1">
      <w:r>
        <w:separator/>
      </w:r>
    </w:p>
  </w:endnote>
  <w:endnote w:type="continuationSeparator" w:id="0">
    <w:p w:rsidR="008C384B" w:rsidRDefault="008C384B" w:rsidP="00754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4B" w:rsidRDefault="008C384B" w:rsidP="007541D1">
      <w:r>
        <w:separator/>
      </w:r>
    </w:p>
  </w:footnote>
  <w:footnote w:type="continuationSeparator" w:id="0">
    <w:p w:rsidR="008C384B" w:rsidRDefault="008C384B" w:rsidP="007541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0BA"/>
    <w:rsid w:val="00044E6F"/>
    <w:rsid w:val="000F30BA"/>
    <w:rsid w:val="00142FDA"/>
    <w:rsid w:val="002A134B"/>
    <w:rsid w:val="003164A5"/>
    <w:rsid w:val="00407118"/>
    <w:rsid w:val="00427DC9"/>
    <w:rsid w:val="00472939"/>
    <w:rsid w:val="0048684D"/>
    <w:rsid w:val="0049473D"/>
    <w:rsid w:val="0055382A"/>
    <w:rsid w:val="005B0DB7"/>
    <w:rsid w:val="006F61CE"/>
    <w:rsid w:val="007142B6"/>
    <w:rsid w:val="0071439E"/>
    <w:rsid w:val="007541D1"/>
    <w:rsid w:val="0084185A"/>
    <w:rsid w:val="00853AC2"/>
    <w:rsid w:val="008A19D8"/>
    <w:rsid w:val="008C384B"/>
    <w:rsid w:val="009F6829"/>
    <w:rsid w:val="00A37F5B"/>
    <w:rsid w:val="00AF1B1D"/>
    <w:rsid w:val="00AF4B99"/>
    <w:rsid w:val="00B32FD3"/>
    <w:rsid w:val="00C4596C"/>
    <w:rsid w:val="00C655C3"/>
    <w:rsid w:val="00C87A3B"/>
    <w:rsid w:val="00CF7CA3"/>
    <w:rsid w:val="00D575A8"/>
    <w:rsid w:val="00D8240D"/>
    <w:rsid w:val="00DB06C8"/>
    <w:rsid w:val="00DB301D"/>
    <w:rsid w:val="00FA3B5A"/>
    <w:rsid w:val="00FE4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7A3B"/>
    <w:rPr>
      <w:rFonts w:ascii="Times New Roman" w:eastAsia="宋体" w:hAnsi="Times New Roman" w:cs="Times New Roman"/>
      <w:sz w:val="18"/>
      <w:szCs w:val="18"/>
    </w:rPr>
  </w:style>
  <w:style w:type="paragraph" w:styleId="a4">
    <w:name w:val="footer"/>
    <w:basedOn w:val="a"/>
    <w:link w:val="Char0"/>
    <w:uiPriority w:val="99"/>
    <w:semiHidden/>
    <w:unhideWhenUsed/>
    <w:rsid w:val="00C87A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7A3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776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899DB-ABC8-4B0B-A798-FDCD980C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2527</dc:creator>
  <cp:lastModifiedBy>2527</cp:lastModifiedBy>
  <cp:revision>13</cp:revision>
  <cp:lastPrinted>2016-08-22T12:59:00Z</cp:lastPrinted>
  <dcterms:created xsi:type="dcterms:W3CDTF">2016-08-22T12:57:00Z</dcterms:created>
  <dcterms:modified xsi:type="dcterms:W3CDTF">2016-09-27T07:33:00Z</dcterms:modified>
</cp:coreProperties>
</file>